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82442" w14:textId="55B29A17" w:rsidR="00FF0F25" w:rsidRPr="002750AC" w:rsidRDefault="00A0559D" w:rsidP="009916EC">
      <w:pPr>
        <w:spacing w:after="0" w:line="240" w:lineRule="auto"/>
        <w:rPr>
          <w:color w:val="004F86"/>
          <w:sz w:val="28"/>
          <w:szCs w:val="28"/>
        </w:rPr>
      </w:pPr>
      <w:r w:rsidRPr="002750AC">
        <w:rPr>
          <w:b/>
          <w:color w:val="004F86"/>
          <w:sz w:val="28"/>
          <w:szCs w:val="28"/>
        </w:rPr>
        <w:t>Arbeitsblatt</w:t>
      </w:r>
      <w:r w:rsidR="009916EC">
        <w:rPr>
          <w:b/>
          <w:color w:val="004F86"/>
          <w:sz w:val="28"/>
          <w:szCs w:val="28"/>
        </w:rPr>
        <w:t xml:space="preserve"> </w:t>
      </w:r>
      <w:r w:rsidR="00FF0F25" w:rsidRPr="002750AC">
        <w:rPr>
          <w:b/>
          <w:color w:val="004F86"/>
          <w:sz w:val="28"/>
          <w:szCs w:val="28"/>
        </w:rPr>
        <w:t>„Inflation und Preisindex“</w:t>
      </w:r>
    </w:p>
    <w:p w14:paraId="01B3EA8C" w14:textId="4969D7C0" w:rsidR="00EE426E" w:rsidRDefault="007C73D4" w:rsidP="00A0559D">
      <w:pPr>
        <w:rPr>
          <w:sz w:val="20"/>
          <w:szCs w:val="20"/>
        </w:rPr>
      </w:pPr>
      <w:r>
        <w:rPr>
          <w:noProof/>
          <w:lang w:eastAsia="de-DE"/>
        </w:rPr>
        <mc:AlternateContent>
          <mc:Choice Requires="wps">
            <w:drawing>
              <wp:anchor distT="0" distB="0" distL="114300" distR="114300" simplePos="0" relativeHeight="251658240" behindDoc="0" locked="0" layoutInCell="1" allowOverlap="1" wp14:anchorId="2826CF7C" wp14:editId="0C1FD35D">
                <wp:simplePos x="0" y="0"/>
                <wp:positionH relativeFrom="column">
                  <wp:posOffset>-43180</wp:posOffset>
                </wp:positionH>
                <wp:positionV relativeFrom="paragraph">
                  <wp:posOffset>130810</wp:posOffset>
                </wp:positionV>
                <wp:extent cx="6010275" cy="4343400"/>
                <wp:effectExtent l="0" t="0" r="28575" b="19050"/>
                <wp:wrapNone/>
                <wp:docPr id="5"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0275" cy="4343400"/>
                        </a:xfrm>
                        <a:prstGeom prst="rect">
                          <a:avLst/>
                        </a:prstGeom>
                        <a:solidFill>
                          <a:srgbClr val="FFFFFF">
                            <a:alpha val="0"/>
                          </a:srgbClr>
                        </a:solidFill>
                        <a:ln w="19050" cap="flat" cmpd="sng" algn="ctr">
                          <a:solidFill>
                            <a:srgbClr val="DCDCDC"/>
                          </a:solidFill>
                          <a:prstDash val="solid"/>
                        </a:ln>
                        <a:effectLst/>
                      </wps:spPr>
                      <wps:txbx>
                        <w:txbxContent>
                          <w:p w14:paraId="2DA1BA83" w14:textId="5DF11253" w:rsidR="00032144" w:rsidRDefault="00032144" w:rsidP="00166F20">
                            <w:pPr>
                              <w:jc w:val="center"/>
                            </w:pPr>
                            <w:proofErr w:type="spellStart"/>
                            <w:r>
                              <w:t>bnb</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26CF7C" id="Rechteck 4" o:spid="_x0000_s1026" style="position:absolute;margin-left:-3.4pt;margin-top:10.3pt;width:473.25pt;height:3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" strokecolor="#dcdcdc" strokeweight="1.5pt">
                <v:fill opacity="0"/>
                <v:path arrowok="t"/>
                <v:textbox>
                  <w:txbxContent>
                    <w:p w14:paraId="2DA1BA83" w14:textId="5DF11253" w:rsidR="00032144" w:rsidRDefault="00032144" w:rsidP="00166F20">
                      <w:pPr>
                        <w:jc w:val="center"/>
                      </w:pPr>
                      <w:proofErr w:type="spellStart"/>
                      <w:r>
                        <w:t>bnb</w:t>
                      </w:r>
                      <w:proofErr w:type="spellEnd"/>
                    </w:p>
                  </w:txbxContent>
                </v:textbox>
              </v:rect>
            </w:pict>
          </mc:Fallback>
        </mc:AlternateContent>
      </w:r>
    </w:p>
    <w:p w14:paraId="6E39A5EB" w14:textId="2475EC9D" w:rsidR="00EE426E" w:rsidRPr="00EE426E" w:rsidRDefault="00EE426E" w:rsidP="00A0559D">
      <w:pPr>
        <w:rPr>
          <w:b/>
          <w:sz w:val="20"/>
          <w:szCs w:val="20"/>
        </w:rPr>
      </w:pPr>
      <w:r w:rsidRPr="00EE426E">
        <w:rPr>
          <w:b/>
          <w:sz w:val="20"/>
          <w:szCs w:val="20"/>
        </w:rPr>
        <w:t>Hyperinflation in Deutschland</w:t>
      </w:r>
    </w:p>
    <w:p w14:paraId="349F16E5" w14:textId="4CFD620A" w:rsidR="00A0559D" w:rsidRPr="00054D59" w:rsidRDefault="005E006F" w:rsidP="00A0559D">
      <w:pPr>
        <w:rPr>
          <w:sz w:val="20"/>
          <w:szCs w:val="20"/>
        </w:rPr>
      </w:pPr>
      <w:r>
        <w:rPr>
          <w:noProof/>
          <w:lang w:eastAsia="de-DE"/>
        </w:rPr>
        <w:drawing>
          <wp:anchor distT="0" distB="0" distL="114300" distR="114300" simplePos="0" relativeHeight="251657216" behindDoc="1" locked="0" layoutInCell="1" allowOverlap="1" wp14:anchorId="3C78E750" wp14:editId="55E7C032">
            <wp:simplePos x="0" y="0"/>
            <wp:positionH relativeFrom="column">
              <wp:posOffset>2461895</wp:posOffset>
            </wp:positionH>
            <wp:positionV relativeFrom="paragraph">
              <wp:posOffset>476885</wp:posOffset>
            </wp:positionV>
            <wp:extent cx="3314700" cy="2142490"/>
            <wp:effectExtent l="0" t="0" r="0" b="0"/>
            <wp:wrapTight wrapText="bothSides">
              <wp:wrapPolygon edited="0">
                <wp:start x="0" y="0"/>
                <wp:lineTo x="0" y="21318"/>
                <wp:lineTo x="21476" y="21318"/>
                <wp:lineTo x="21476" y="0"/>
                <wp:lineTo x="0" y="0"/>
              </wp:wrapPolygon>
            </wp:wrapTight>
            <wp:docPr id="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4700" cy="2142490"/>
                    </a:xfrm>
                    <a:prstGeom prst="rect">
                      <a:avLst/>
                    </a:prstGeom>
                    <a:noFill/>
                    <a:ln>
                      <a:noFill/>
                    </a:ln>
                  </pic:spPr>
                </pic:pic>
              </a:graphicData>
            </a:graphic>
            <wp14:sizeRelH relativeFrom="page">
              <wp14:pctWidth>0</wp14:pctWidth>
            </wp14:sizeRelH>
            <wp14:sizeRelV relativeFrom="page">
              <wp14:pctHeight>0</wp14:pctHeight>
            </wp14:sizeRelV>
          </wp:anchor>
        </w:drawing>
      </w:r>
      <w:r w:rsidR="00564FAB" w:rsidRPr="00054D59">
        <w:rPr>
          <w:sz w:val="20"/>
          <w:szCs w:val="20"/>
        </w:rPr>
        <w:t>1922/23 e</w:t>
      </w:r>
      <w:r w:rsidR="00A0559D" w:rsidRPr="00054D59">
        <w:rPr>
          <w:sz w:val="20"/>
          <w:szCs w:val="20"/>
        </w:rPr>
        <w:t xml:space="preserve">rlebte Deutschland die wohl höchste Inflation aller Zeiten. </w:t>
      </w:r>
      <w:r w:rsidR="00564FAB" w:rsidRPr="00054D59">
        <w:rPr>
          <w:sz w:val="20"/>
          <w:szCs w:val="20"/>
        </w:rPr>
        <w:t xml:space="preserve">Um die Staatsschulden aus dem 1. Weltkrieg bezahlen zu können, druckte die Deutsche Reichsbank viel mehr Geld als die reale Wirtschaftsleitung erforderte. Durch das Überangebot an Geld stiegen die Preise für alle Güter </w:t>
      </w:r>
      <w:r w:rsidR="00CE4827" w:rsidRPr="00054D59">
        <w:rPr>
          <w:sz w:val="20"/>
          <w:szCs w:val="20"/>
        </w:rPr>
        <w:t>und ein rasanter</w:t>
      </w:r>
      <w:r w:rsidR="007539FE" w:rsidRPr="00054D59">
        <w:rPr>
          <w:sz w:val="20"/>
          <w:szCs w:val="20"/>
        </w:rPr>
        <w:t xml:space="preserve"> Geldwertverlust war die Folge. Als Kompensation forderten Arbeitnehmer Lohnerhöhungen, wodurch noch mehr Geld i</w:t>
      </w:r>
      <w:r w:rsidR="00166F20">
        <w:rPr>
          <w:sz w:val="20"/>
          <w:szCs w:val="20"/>
        </w:rPr>
        <w:t>n</w:t>
      </w:r>
      <w:r w:rsidR="007539FE" w:rsidRPr="00054D59">
        <w:rPr>
          <w:sz w:val="20"/>
          <w:szCs w:val="20"/>
        </w:rPr>
        <w:t xml:space="preserve"> Umlauf geriet. </w:t>
      </w:r>
      <w:r w:rsidR="00FA5737" w:rsidRPr="00054D59">
        <w:rPr>
          <w:sz w:val="20"/>
          <w:szCs w:val="20"/>
        </w:rPr>
        <w:t>Aus der Spirale der Geldentwertung entwickelte sich eine „Hyperinflation“</w:t>
      </w:r>
      <w:r w:rsidR="00CE4827" w:rsidRPr="00054D59">
        <w:rPr>
          <w:sz w:val="20"/>
          <w:szCs w:val="20"/>
        </w:rPr>
        <w:t xml:space="preserve">, die auf ihrem Höhepunkt eine Inflationsrate von 100 Millionen Prozent </w:t>
      </w:r>
      <w:r w:rsidR="00F92E1B">
        <w:rPr>
          <w:sz w:val="20"/>
          <w:szCs w:val="20"/>
        </w:rPr>
        <w:t>erreichte</w:t>
      </w:r>
      <w:r w:rsidR="00CE4827" w:rsidRPr="00054D59">
        <w:rPr>
          <w:sz w:val="20"/>
          <w:szCs w:val="20"/>
        </w:rPr>
        <w:t xml:space="preserve">. </w:t>
      </w:r>
      <w:r w:rsidR="007539FE" w:rsidRPr="00054D59">
        <w:rPr>
          <w:sz w:val="20"/>
          <w:szCs w:val="20"/>
        </w:rPr>
        <w:t>Mit Schubkarren wurde das Geld für Brote und andere Alltagsgüter angeliefert, bis immer höherwertige Geldscheine gedruckt wurden (siehe oben). Der höchste Geldschein war der 100 Billionen-Mark-Schein.</w:t>
      </w:r>
    </w:p>
    <w:p w14:paraId="563E1699" w14:textId="527ABB22" w:rsidR="00054D59" w:rsidRDefault="00FA5737" w:rsidP="00A0559D">
      <w:pPr>
        <w:rPr>
          <w:sz w:val="20"/>
          <w:szCs w:val="20"/>
        </w:rPr>
      </w:pPr>
      <w:r w:rsidRPr="00054D59">
        <w:rPr>
          <w:sz w:val="20"/>
          <w:szCs w:val="20"/>
        </w:rPr>
        <w:t>Durch die</w:t>
      </w:r>
      <w:r w:rsidR="007539FE" w:rsidRPr="00054D59">
        <w:rPr>
          <w:sz w:val="20"/>
          <w:szCs w:val="20"/>
        </w:rPr>
        <w:t xml:space="preserve"> Währungsreform von 1923 wurde schließlich der Inflation ein Ende bereitet. Eine Billion Mark wurde geg</w:t>
      </w:r>
      <w:r w:rsidRPr="00054D59">
        <w:rPr>
          <w:sz w:val="20"/>
          <w:szCs w:val="20"/>
        </w:rPr>
        <w:t xml:space="preserve">en eine Rentenmark umgetauscht, die als Übergangswährung bis zur Reichsmark eingeführt wurde. </w:t>
      </w:r>
      <w:r w:rsidR="00054D59" w:rsidRPr="00054D59">
        <w:rPr>
          <w:sz w:val="20"/>
          <w:szCs w:val="20"/>
        </w:rPr>
        <w:t xml:space="preserve">Millionen von Sparern verloren durch </w:t>
      </w:r>
      <w:r w:rsidR="005948CD">
        <w:rPr>
          <w:sz w:val="20"/>
          <w:szCs w:val="20"/>
        </w:rPr>
        <w:t>die Hyperinflation ihr gesamtes Vermögen, da man von dem hart ersparten Geld immer weniger kaufen konnte und es letztlich wertlos wurde.</w:t>
      </w:r>
    </w:p>
    <w:p w14:paraId="26F5C965" w14:textId="2713CEF6" w:rsidR="00054D59" w:rsidRDefault="00054D59" w:rsidP="00A0559D">
      <w:pPr>
        <w:rPr>
          <w:sz w:val="20"/>
          <w:szCs w:val="20"/>
        </w:rPr>
      </w:pPr>
    </w:p>
    <w:p w14:paraId="3E3BEB0D" w14:textId="77777777" w:rsidR="00054D59" w:rsidRPr="007F3E15" w:rsidRDefault="00FD546C" w:rsidP="00352E45">
      <w:pPr>
        <w:pStyle w:val="berschrift2"/>
        <w:spacing w:after="120"/>
        <w:jc w:val="both"/>
        <w:rPr>
          <w:color w:val="004F86"/>
          <w:sz w:val="24"/>
          <w:szCs w:val="24"/>
        </w:rPr>
      </w:pPr>
      <w:r w:rsidRPr="007F3E15">
        <w:rPr>
          <w:color w:val="004F86"/>
          <w:sz w:val="24"/>
          <w:szCs w:val="24"/>
        </w:rPr>
        <w:t>Was ist Inflation?</w:t>
      </w:r>
    </w:p>
    <w:p w14:paraId="1BB536E1" w14:textId="63A5952E" w:rsidR="00695838" w:rsidRDefault="00695838" w:rsidP="00352E45">
      <w:pPr>
        <w:spacing w:after="0"/>
        <w:jc w:val="both"/>
      </w:pPr>
      <w:r>
        <w:t>Inflation kommt von dem lateinischen Wort ‚</w:t>
      </w:r>
      <w:proofErr w:type="spellStart"/>
      <w:r>
        <w:t>inflare</w:t>
      </w:r>
      <w:proofErr w:type="spellEnd"/>
      <w:r>
        <w:t>‘, was auf Deutsch „aufblasen“ bedeutet.</w:t>
      </w:r>
      <w:r w:rsidRPr="00FD546C">
        <w:t xml:space="preserve"> </w:t>
      </w:r>
      <w:r w:rsidR="00FD546C" w:rsidRPr="00FD546C">
        <w:t xml:space="preserve">In einer Marktwirtschaft können sich die Preise für Waren und Dienstleistungen jederzeit ändern – einige Preise steigen, während andere fallen. Erhöhen sich die Güterpreise allgemein, und nicht nur die Preise einzelner Produkte, so spricht man von „Inflation“. </w:t>
      </w:r>
      <w:r>
        <w:t>In dieser Situation kann</w:t>
      </w:r>
      <w:r w:rsidR="00FD546C" w:rsidRPr="00FD546C">
        <w:t xml:space="preserve"> man für einen Euro weniger kaufen oder anders ausgedrückt: Ein Euro ist dann weniger wert als zuvor</w:t>
      </w:r>
      <w:r w:rsidR="00FD546C">
        <w:t>. Daher versteht man unter Inflation allgemein auch eine Geldentwertung.</w:t>
      </w:r>
      <w:r w:rsidR="0053604B">
        <w:rPr>
          <w:rStyle w:val="Funotenzeichen"/>
        </w:rPr>
        <w:footnoteReference w:id="1"/>
      </w:r>
    </w:p>
    <w:p w14:paraId="3435866D" w14:textId="77777777" w:rsidR="00695838" w:rsidRPr="003A7EC3" w:rsidRDefault="00695838" w:rsidP="00352E45">
      <w:pPr>
        <w:spacing w:after="0"/>
        <w:jc w:val="both"/>
        <w:rPr>
          <w:color w:val="004F86"/>
        </w:rPr>
      </w:pPr>
    </w:p>
    <w:p w14:paraId="0472E409" w14:textId="77777777" w:rsidR="00695838" w:rsidRPr="003A7EC3" w:rsidRDefault="00110F58" w:rsidP="00352E45">
      <w:pPr>
        <w:spacing w:after="120"/>
        <w:jc w:val="both"/>
        <w:rPr>
          <w:b/>
          <w:color w:val="004F86"/>
          <w:sz w:val="24"/>
          <w:szCs w:val="24"/>
        </w:rPr>
      </w:pPr>
      <w:r w:rsidRPr="003A7EC3">
        <w:rPr>
          <w:b/>
          <w:color w:val="004F86"/>
          <w:sz w:val="24"/>
          <w:szCs w:val="24"/>
        </w:rPr>
        <w:t>Wie wird Inflation gemessen?</w:t>
      </w:r>
    </w:p>
    <w:p w14:paraId="46A2D7FB" w14:textId="77777777" w:rsidR="00110F58" w:rsidRDefault="003D26D5" w:rsidP="00352E45">
      <w:pPr>
        <w:jc w:val="both"/>
      </w:pPr>
      <w:r w:rsidRPr="003D26D5">
        <w:t>Wie kann man Inflation messen? In einer Volkswirtschaft gibt es Millionen von Preisen.</w:t>
      </w:r>
      <w:r>
        <w:t xml:space="preserve"> </w:t>
      </w:r>
      <w:r w:rsidRPr="003D26D5">
        <w:t>Diese Preise unterliegen ständigen Veränderungen, die im Grunde Veränderungen</w:t>
      </w:r>
      <w:r>
        <w:t xml:space="preserve"> </w:t>
      </w:r>
      <w:r w:rsidRPr="003D26D5">
        <w:t>des Angebots von und der Nachfrage nach einzelnen Waren und Dienstleistungen</w:t>
      </w:r>
      <w:r>
        <w:t xml:space="preserve"> </w:t>
      </w:r>
      <w:r w:rsidRPr="003D26D5">
        <w:t xml:space="preserve">widerspiegeln und dadurch einen Hinweis auf die </w:t>
      </w:r>
      <w:r w:rsidR="000D11C2">
        <w:t>„</w:t>
      </w:r>
      <w:r w:rsidRPr="003D26D5">
        <w:t>relative Knappheit</w:t>
      </w:r>
      <w:r w:rsidR="000D11C2">
        <w:t>“</w:t>
      </w:r>
      <w:r w:rsidR="00C01F5B">
        <w:t xml:space="preserve"> der betroffen</w:t>
      </w:r>
      <w:r w:rsidRPr="003D26D5">
        <w:t>en</w:t>
      </w:r>
      <w:r>
        <w:t xml:space="preserve"> </w:t>
      </w:r>
      <w:r w:rsidRPr="003D26D5">
        <w:t>Waren und Dienstleistungen liefern. Es liegt auf der Hand, dass es weder praktikabel</w:t>
      </w:r>
      <w:r>
        <w:t xml:space="preserve"> </w:t>
      </w:r>
      <w:r w:rsidRPr="003D26D5">
        <w:t>noch wünschenswert ist, all diese Preise zu berücksichtigen. Gleichzeitig ist es aber auch</w:t>
      </w:r>
      <w:r>
        <w:t xml:space="preserve"> </w:t>
      </w:r>
      <w:r w:rsidRPr="003D26D5">
        <w:t>nicht angemessen, nur einige von ihnen zu betrachten, denn sie sind möglicherweise</w:t>
      </w:r>
      <w:r>
        <w:t xml:space="preserve"> </w:t>
      </w:r>
      <w:r w:rsidRPr="003D26D5">
        <w:t>nicht repräsentativ für das allgemeine Preisniveau.</w:t>
      </w:r>
    </w:p>
    <w:p w14:paraId="0EF6A0A2" w14:textId="579C465B" w:rsidR="001B6C73" w:rsidRPr="00CE006C" w:rsidRDefault="001811EF" w:rsidP="009B6B4B">
      <w:pPr>
        <w:spacing w:after="0"/>
        <w:jc w:val="both"/>
        <w:rPr>
          <w:sz w:val="16"/>
          <w:szCs w:val="16"/>
        </w:rPr>
      </w:pPr>
      <w:r w:rsidRPr="001811EF">
        <w:lastRenderedPageBreak/>
        <w:t>Die meisten Länder verfolgen bei der Messung von Inflation einen einfachen, naheliegenden</w:t>
      </w:r>
      <w:r>
        <w:t xml:space="preserve"> </w:t>
      </w:r>
      <w:r w:rsidRPr="001811EF">
        <w:t xml:space="preserve">Ansatz, indem sie den sogenannten </w:t>
      </w:r>
      <w:r w:rsidRPr="00215D2D">
        <w:rPr>
          <w:b/>
        </w:rPr>
        <w:t>Verbraucherpreisindex</w:t>
      </w:r>
      <w:r w:rsidRPr="001811EF">
        <w:t xml:space="preserve"> (VPI) heranziehen.</w:t>
      </w:r>
      <w:r>
        <w:t xml:space="preserve"> </w:t>
      </w:r>
      <w:r w:rsidRPr="001811EF">
        <w:t>Dabei wird das Kaufverhalten der Verbraucher analysiert, um festzustellen, welche</w:t>
      </w:r>
      <w:r>
        <w:t xml:space="preserve"> </w:t>
      </w:r>
      <w:r w:rsidRPr="001811EF">
        <w:t>Waren und Dienstleistungen Verbraucher typischerweise kaufen und welche daher als in</w:t>
      </w:r>
      <w:r>
        <w:t xml:space="preserve"> </w:t>
      </w:r>
      <w:r w:rsidRPr="001811EF">
        <w:t xml:space="preserve">gewisser Weise </w:t>
      </w:r>
      <w:r w:rsidRPr="00215D2D">
        <w:rPr>
          <w:i/>
        </w:rPr>
        <w:t>repräsentativ für den Durchschnittsverbraucher</w:t>
      </w:r>
      <w:r w:rsidRPr="001811EF">
        <w:t xml:space="preserve"> einer Volkswirtschaft</w:t>
      </w:r>
      <w:r>
        <w:t xml:space="preserve"> </w:t>
      </w:r>
      <w:r w:rsidRPr="001811EF">
        <w:t>betrachtet werden können. Dazu gehören nicht nur die Artikel, die Verbraucher</w:t>
      </w:r>
      <w:r>
        <w:t xml:space="preserve"> </w:t>
      </w:r>
      <w:r w:rsidRPr="001811EF">
        <w:t>täglich kaufen (z. B. Brot und Obst), sondern auch Gebrauchsg</w:t>
      </w:r>
      <w:r w:rsidR="00C45DD2">
        <w:t>ü</w:t>
      </w:r>
      <w:r w:rsidRPr="001811EF">
        <w:t>ter (z.B. Autos, PCs,</w:t>
      </w:r>
      <w:r>
        <w:t xml:space="preserve"> </w:t>
      </w:r>
      <w:r w:rsidRPr="001811EF">
        <w:t>Waschmaschinen usw.) und wiederkehrende Transaktionen (z</w:t>
      </w:r>
      <w:r w:rsidR="009916EC">
        <w:t>.</w:t>
      </w:r>
      <w:r w:rsidRPr="001811EF">
        <w:t>B. Mietzahlungen).</w:t>
      </w:r>
      <w:r>
        <w:t xml:space="preserve"> </w:t>
      </w:r>
      <w:r w:rsidRPr="001811EF">
        <w:t xml:space="preserve">Die Zusammenstellung dieser </w:t>
      </w:r>
      <w:r w:rsidR="000D11C2">
        <w:t>„</w:t>
      </w:r>
      <w:r w:rsidRPr="001811EF">
        <w:t>Einkaufsliste</w:t>
      </w:r>
      <w:r w:rsidR="000D11C2">
        <w:t>“</w:t>
      </w:r>
      <w:r w:rsidRPr="001811EF">
        <w:t xml:space="preserve"> von Artikeln und ihre Gewichtung</w:t>
      </w:r>
      <w:r>
        <w:t xml:space="preserve"> </w:t>
      </w:r>
      <w:r w:rsidRPr="001811EF">
        <w:t>entsprechend ihrer Bedeutung in den Budgets der Verbraucher ergeben den</w:t>
      </w:r>
      <w:r>
        <w:t xml:space="preserve"> </w:t>
      </w:r>
      <w:r w:rsidRPr="001811EF">
        <w:t xml:space="preserve">sogenannten </w:t>
      </w:r>
      <w:r w:rsidRPr="00215D2D">
        <w:rPr>
          <w:b/>
        </w:rPr>
        <w:t>Warenkorb</w:t>
      </w:r>
      <w:r w:rsidRPr="001811EF">
        <w:t>. Jeden Monat prüft eine Gruppe von Preisbeobachtern die</w:t>
      </w:r>
      <w:r>
        <w:t xml:space="preserve"> </w:t>
      </w:r>
      <w:r w:rsidRPr="001811EF">
        <w:t>Preise dieser Artikel an verschiedenen Verkaufsstellen. In der Folge werden die Kosten</w:t>
      </w:r>
      <w:r>
        <w:t xml:space="preserve"> </w:t>
      </w:r>
      <w:r w:rsidRPr="001811EF">
        <w:t>dieses Korbs immer wieder verglichen, sodass eine Zeitreihe für den Preisindex entsteht.</w:t>
      </w:r>
      <w:r>
        <w:t xml:space="preserve"> </w:t>
      </w:r>
      <w:r w:rsidRPr="001811EF">
        <w:t>Die jährliche Inflationsrate kann dann berechnet werden, indem man die Veränderung</w:t>
      </w:r>
      <w:r>
        <w:t xml:space="preserve"> </w:t>
      </w:r>
      <w:r w:rsidRPr="001811EF">
        <w:t>der Kosten des Warenkorbs heute als Prozentsatz der Kosten des identischen Warenkorbs</w:t>
      </w:r>
      <w:r>
        <w:t xml:space="preserve"> </w:t>
      </w:r>
      <w:r w:rsidR="00C45DD2">
        <w:t>vor einem Jahr ausdrü</w:t>
      </w:r>
      <w:r w:rsidRPr="001811EF">
        <w:t>ckt.</w:t>
      </w:r>
      <w:r w:rsidR="00742D08">
        <w:rPr>
          <w:rStyle w:val="Funotenzeichen"/>
        </w:rPr>
        <w:footnoteReference w:id="2"/>
      </w:r>
      <w:r w:rsidR="00742D08" w:rsidDel="00742D08">
        <w:t xml:space="preserve"> </w:t>
      </w:r>
    </w:p>
    <w:p w14:paraId="267D2F9C" w14:textId="77777777" w:rsidR="001B6C73" w:rsidRPr="00317A9A" w:rsidRDefault="001B6C73" w:rsidP="001B6C73">
      <w:pPr>
        <w:spacing w:after="0"/>
        <w:rPr>
          <w:color w:val="004F86"/>
        </w:rPr>
      </w:pPr>
    </w:p>
    <w:p w14:paraId="2B983576" w14:textId="77777777" w:rsidR="00CE7BCF" w:rsidRPr="003A7EC3" w:rsidRDefault="00CE7BCF" w:rsidP="00CE7BCF">
      <w:pPr>
        <w:spacing w:after="120"/>
        <w:rPr>
          <w:b/>
          <w:color w:val="004F86"/>
          <w:sz w:val="24"/>
          <w:szCs w:val="24"/>
        </w:rPr>
      </w:pPr>
      <w:r w:rsidRPr="003A7EC3">
        <w:rPr>
          <w:b/>
          <w:color w:val="004F86"/>
          <w:sz w:val="24"/>
          <w:szCs w:val="24"/>
        </w:rPr>
        <w:t>Preisindex und Inflationsrate</w:t>
      </w:r>
    </w:p>
    <w:tbl>
      <w:tblPr>
        <w:tblW w:w="0" w:type="auto"/>
        <w:tblBorders>
          <w:top w:val="single" w:sz="8" w:space="0" w:color="006AB3"/>
          <w:left w:val="single" w:sz="8" w:space="0" w:color="006AB3"/>
          <w:bottom w:val="single" w:sz="8" w:space="0" w:color="006AB3"/>
          <w:right w:val="single" w:sz="8" w:space="0" w:color="006AB3"/>
          <w:insideH w:val="single" w:sz="8" w:space="0" w:color="006AB3"/>
          <w:insideV w:val="single" w:sz="8" w:space="0" w:color="006AB3"/>
        </w:tblBorders>
        <w:tblLook w:val="04A0" w:firstRow="1" w:lastRow="0" w:firstColumn="1" w:lastColumn="0" w:noHBand="0" w:noVBand="1"/>
      </w:tblPr>
      <w:tblGrid>
        <w:gridCol w:w="2257"/>
        <w:gridCol w:w="2265"/>
        <w:gridCol w:w="2271"/>
        <w:gridCol w:w="2257"/>
      </w:tblGrid>
      <w:tr w:rsidR="00D72DE8" w:rsidRPr="00935601" w14:paraId="00B71876" w14:textId="77777777" w:rsidTr="00935601">
        <w:tc>
          <w:tcPr>
            <w:tcW w:w="2302" w:type="dxa"/>
            <w:tcBorders>
              <w:top w:val="single" w:sz="8" w:space="0" w:color="006AB3"/>
              <w:left w:val="single" w:sz="8" w:space="0" w:color="006AB3"/>
              <w:bottom w:val="single" w:sz="18" w:space="0" w:color="006AB3"/>
              <w:right w:val="single" w:sz="8" w:space="0" w:color="006AB3"/>
            </w:tcBorders>
            <w:shd w:val="clear" w:color="auto" w:fill="auto"/>
          </w:tcPr>
          <w:p w14:paraId="0947B5C7" w14:textId="77777777" w:rsidR="00D72DE8" w:rsidRPr="00935601" w:rsidRDefault="00D72DE8" w:rsidP="00935601">
            <w:pPr>
              <w:spacing w:after="0" w:line="240" w:lineRule="auto"/>
              <w:jc w:val="center"/>
              <w:rPr>
                <w:rFonts w:eastAsia="Times New Roman"/>
                <w:bCs/>
                <w:sz w:val="20"/>
                <w:szCs w:val="20"/>
              </w:rPr>
            </w:pPr>
            <w:r w:rsidRPr="00935601">
              <w:rPr>
                <w:rFonts w:eastAsia="Times New Roman"/>
                <w:bCs/>
                <w:sz w:val="20"/>
                <w:szCs w:val="20"/>
              </w:rPr>
              <w:t>Jahr</w:t>
            </w:r>
          </w:p>
        </w:tc>
        <w:tc>
          <w:tcPr>
            <w:tcW w:w="2302" w:type="dxa"/>
            <w:tcBorders>
              <w:top w:val="single" w:sz="8" w:space="0" w:color="006AB3"/>
              <w:left w:val="single" w:sz="8" w:space="0" w:color="006AB3"/>
              <w:bottom w:val="single" w:sz="18" w:space="0" w:color="006AB3"/>
              <w:right w:val="single" w:sz="8" w:space="0" w:color="006AB3"/>
            </w:tcBorders>
            <w:shd w:val="clear" w:color="auto" w:fill="auto"/>
          </w:tcPr>
          <w:p w14:paraId="1F1558D4" w14:textId="77777777" w:rsidR="00D72DE8" w:rsidRPr="00935601" w:rsidRDefault="00D72DE8" w:rsidP="00935601">
            <w:pPr>
              <w:spacing w:after="0" w:line="240" w:lineRule="auto"/>
              <w:jc w:val="center"/>
              <w:rPr>
                <w:rFonts w:eastAsia="Times New Roman"/>
                <w:bCs/>
                <w:sz w:val="20"/>
                <w:szCs w:val="20"/>
              </w:rPr>
            </w:pPr>
            <w:r w:rsidRPr="00935601">
              <w:rPr>
                <w:rFonts w:eastAsia="Times New Roman"/>
                <w:bCs/>
                <w:sz w:val="20"/>
                <w:szCs w:val="20"/>
              </w:rPr>
              <w:t>Preis des Warenkorbs</w:t>
            </w:r>
          </w:p>
        </w:tc>
        <w:tc>
          <w:tcPr>
            <w:tcW w:w="2303" w:type="dxa"/>
            <w:tcBorders>
              <w:top w:val="single" w:sz="8" w:space="0" w:color="006AB3"/>
              <w:left w:val="single" w:sz="8" w:space="0" w:color="006AB3"/>
              <w:bottom w:val="single" w:sz="18" w:space="0" w:color="006AB3"/>
              <w:right w:val="single" w:sz="8" w:space="0" w:color="006AB3"/>
            </w:tcBorders>
            <w:shd w:val="clear" w:color="auto" w:fill="auto"/>
          </w:tcPr>
          <w:p w14:paraId="10FD8613" w14:textId="77777777" w:rsidR="00D72DE8" w:rsidRPr="00935601" w:rsidRDefault="00D72DE8" w:rsidP="00935601">
            <w:pPr>
              <w:spacing w:after="0" w:line="240" w:lineRule="auto"/>
              <w:jc w:val="center"/>
              <w:rPr>
                <w:rFonts w:eastAsia="Times New Roman"/>
                <w:bCs/>
                <w:sz w:val="20"/>
                <w:szCs w:val="20"/>
              </w:rPr>
            </w:pPr>
            <w:r w:rsidRPr="00935601">
              <w:rPr>
                <w:rFonts w:eastAsia="Times New Roman"/>
                <w:bCs/>
                <w:sz w:val="20"/>
                <w:szCs w:val="20"/>
              </w:rPr>
              <w:t>Preisindex</w:t>
            </w:r>
          </w:p>
          <w:p w14:paraId="690D3E32" w14:textId="77777777" w:rsidR="00D72DE8" w:rsidRPr="00935601" w:rsidRDefault="00D72DE8" w:rsidP="00935601">
            <w:pPr>
              <w:spacing w:after="0" w:line="240" w:lineRule="auto"/>
              <w:jc w:val="center"/>
              <w:rPr>
                <w:rFonts w:eastAsia="Times New Roman"/>
                <w:bCs/>
                <w:sz w:val="20"/>
                <w:szCs w:val="20"/>
              </w:rPr>
            </w:pPr>
            <w:r w:rsidRPr="00935601">
              <w:rPr>
                <w:rFonts w:eastAsia="Times New Roman"/>
                <w:bCs/>
                <w:sz w:val="20"/>
                <w:szCs w:val="20"/>
              </w:rPr>
              <w:t>(100=Jahr 1)</w:t>
            </w:r>
          </w:p>
        </w:tc>
        <w:tc>
          <w:tcPr>
            <w:tcW w:w="2303" w:type="dxa"/>
            <w:tcBorders>
              <w:top w:val="single" w:sz="8" w:space="0" w:color="006AB3"/>
              <w:left w:val="single" w:sz="8" w:space="0" w:color="006AB3"/>
              <w:bottom w:val="single" w:sz="18" w:space="0" w:color="006AB3"/>
              <w:right w:val="single" w:sz="8" w:space="0" w:color="006AB3"/>
            </w:tcBorders>
            <w:shd w:val="clear" w:color="auto" w:fill="auto"/>
          </w:tcPr>
          <w:p w14:paraId="3C180651" w14:textId="77777777" w:rsidR="00D72DE8" w:rsidRPr="00935601" w:rsidRDefault="00D72DE8" w:rsidP="00935601">
            <w:pPr>
              <w:spacing w:after="0" w:line="240" w:lineRule="auto"/>
              <w:jc w:val="center"/>
              <w:rPr>
                <w:rFonts w:eastAsia="Times New Roman"/>
                <w:bCs/>
                <w:sz w:val="20"/>
                <w:szCs w:val="20"/>
              </w:rPr>
            </w:pPr>
            <w:r w:rsidRPr="00935601">
              <w:rPr>
                <w:rFonts w:eastAsia="Times New Roman"/>
                <w:bCs/>
                <w:sz w:val="20"/>
                <w:szCs w:val="20"/>
              </w:rPr>
              <w:t>Inflationsrate (in % gegenüber Vorjahr)</w:t>
            </w:r>
          </w:p>
        </w:tc>
      </w:tr>
      <w:tr w:rsidR="00925771" w:rsidRPr="00935601" w14:paraId="59E1D7A8" w14:textId="77777777" w:rsidTr="00935601">
        <w:tc>
          <w:tcPr>
            <w:tcW w:w="2302" w:type="dxa"/>
            <w:tcBorders>
              <w:top w:val="single" w:sz="8" w:space="0" w:color="006AB3"/>
              <w:left w:val="single" w:sz="8" w:space="0" w:color="006AB3"/>
              <w:bottom w:val="single" w:sz="8" w:space="0" w:color="006AB3"/>
              <w:right w:val="single" w:sz="8" w:space="0" w:color="006AB3"/>
            </w:tcBorders>
            <w:shd w:val="clear" w:color="auto" w:fill="ADDDFF"/>
          </w:tcPr>
          <w:p w14:paraId="0B3221D7" w14:textId="77777777" w:rsidR="00925771" w:rsidRPr="00935601" w:rsidRDefault="00925771" w:rsidP="00935601">
            <w:pPr>
              <w:spacing w:after="0" w:line="240" w:lineRule="auto"/>
              <w:jc w:val="center"/>
              <w:rPr>
                <w:rFonts w:eastAsia="Times New Roman"/>
                <w:bCs/>
                <w:sz w:val="20"/>
                <w:szCs w:val="20"/>
              </w:rPr>
            </w:pPr>
            <w:r w:rsidRPr="00935601">
              <w:rPr>
                <w:rFonts w:eastAsia="Times New Roman"/>
                <w:bCs/>
                <w:sz w:val="20"/>
                <w:szCs w:val="20"/>
              </w:rPr>
              <w:t>1</w:t>
            </w:r>
          </w:p>
        </w:tc>
        <w:tc>
          <w:tcPr>
            <w:tcW w:w="2302" w:type="dxa"/>
            <w:tcBorders>
              <w:top w:val="single" w:sz="8" w:space="0" w:color="006AB3"/>
              <w:left w:val="single" w:sz="8" w:space="0" w:color="006AB3"/>
              <w:bottom w:val="single" w:sz="8" w:space="0" w:color="006AB3"/>
              <w:right w:val="single" w:sz="8" w:space="0" w:color="006AB3"/>
            </w:tcBorders>
            <w:shd w:val="clear" w:color="auto" w:fill="ADDDFF"/>
          </w:tcPr>
          <w:p w14:paraId="1D48E6B6" w14:textId="77777777" w:rsidR="00925771" w:rsidRPr="00935601" w:rsidRDefault="00925771" w:rsidP="00935601">
            <w:pPr>
              <w:spacing w:after="0" w:line="240" w:lineRule="auto"/>
              <w:jc w:val="center"/>
              <w:rPr>
                <w:rFonts w:cs="Arial"/>
                <w:color w:val="000000"/>
                <w:sz w:val="20"/>
                <w:szCs w:val="20"/>
              </w:rPr>
            </w:pPr>
            <w:r w:rsidRPr="00935601">
              <w:rPr>
                <w:rFonts w:cs="Arial"/>
                <w:color w:val="000000"/>
                <w:sz w:val="20"/>
                <w:szCs w:val="20"/>
              </w:rPr>
              <w:t>1875,32</w:t>
            </w:r>
          </w:p>
        </w:tc>
        <w:tc>
          <w:tcPr>
            <w:tcW w:w="2303" w:type="dxa"/>
            <w:tcBorders>
              <w:top w:val="single" w:sz="8" w:space="0" w:color="006AB3"/>
              <w:left w:val="single" w:sz="8" w:space="0" w:color="006AB3"/>
              <w:bottom w:val="single" w:sz="8" w:space="0" w:color="006AB3"/>
              <w:right w:val="single" w:sz="8" w:space="0" w:color="006AB3"/>
            </w:tcBorders>
            <w:shd w:val="clear" w:color="auto" w:fill="ADDDFF"/>
          </w:tcPr>
          <w:p w14:paraId="10C79C8A" w14:textId="77777777" w:rsidR="00925771" w:rsidRPr="00935601" w:rsidRDefault="00925771" w:rsidP="00935601">
            <w:pPr>
              <w:spacing w:after="0" w:line="240" w:lineRule="auto"/>
              <w:jc w:val="center"/>
              <w:rPr>
                <w:sz w:val="20"/>
                <w:szCs w:val="20"/>
              </w:rPr>
            </w:pPr>
            <w:r w:rsidRPr="00935601">
              <w:rPr>
                <w:sz w:val="20"/>
                <w:szCs w:val="20"/>
              </w:rPr>
              <w:t>100</w:t>
            </w:r>
          </w:p>
        </w:tc>
        <w:tc>
          <w:tcPr>
            <w:tcW w:w="2303" w:type="dxa"/>
            <w:tcBorders>
              <w:top w:val="single" w:sz="8" w:space="0" w:color="006AB3"/>
              <w:left w:val="single" w:sz="8" w:space="0" w:color="006AB3"/>
              <w:bottom w:val="single" w:sz="8" w:space="0" w:color="006AB3"/>
              <w:right w:val="single" w:sz="8" w:space="0" w:color="006AB3"/>
            </w:tcBorders>
            <w:shd w:val="clear" w:color="auto" w:fill="ADDDFF"/>
          </w:tcPr>
          <w:p w14:paraId="54CD0FBE" w14:textId="77777777" w:rsidR="00925771" w:rsidRPr="00935601" w:rsidRDefault="00C06AA2" w:rsidP="00935601">
            <w:pPr>
              <w:spacing w:after="0" w:line="240" w:lineRule="auto"/>
              <w:jc w:val="center"/>
              <w:rPr>
                <w:sz w:val="20"/>
                <w:szCs w:val="20"/>
              </w:rPr>
            </w:pPr>
            <w:r w:rsidRPr="00935601">
              <w:rPr>
                <w:sz w:val="20"/>
                <w:szCs w:val="20"/>
              </w:rPr>
              <w:t>-</w:t>
            </w:r>
          </w:p>
        </w:tc>
      </w:tr>
      <w:tr w:rsidR="00925771" w:rsidRPr="00935601" w14:paraId="2813ECA5" w14:textId="77777777" w:rsidTr="00935601">
        <w:tc>
          <w:tcPr>
            <w:tcW w:w="2302" w:type="dxa"/>
            <w:tcBorders>
              <w:top w:val="single" w:sz="8" w:space="0" w:color="006AB3"/>
              <w:left w:val="single" w:sz="8" w:space="0" w:color="006AB3"/>
              <w:bottom w:val="single" w:sz="8" w:space="0" w:color="006AB3"/>
              <w:right w:val="single" w:sz="8" w:space="0" w:color="006AB3"/>
            </w:tcBorders>
            <w:shd w:val="clear" w:color="auto" w:fill="auto"/>
          </w:tcPr>
          <w:p w14:paraId="481B3248" w14:textId="77777777" w:rsidR="00925771" w:rsidRPr="00935601" w:rsidRDefault="00925771" w:rsidP="00935601">
            <w:pPr>
              <w:spacing w:after="0" w:line="240" w:lineRule="auto"/>
              <w:jc w:val="center"/>
              <w:rPr>
                <w:rFonts w:eastAsia="Times New Roman"/>
                <w:bCs/>
                <w:sz w:val="20"/>
                <w:szCs w:val="20"/>
              </w:rPr>
            </w:pPr>
            <w:r w:rsidRPr="00935601">
              <w:rPr>
                <w:rFonts w:eastAsia="Times New Roman"/>
                <w:bCs/>
                <w:sz w:val="20"/>
                <w:szCs w:val="20"/>
              </w:rPr>
              <w:t>2</w:t>
            </w:r>
          </w:p>
        </w:tc>
        <w:tc>
          <w:tcPr>
            <w:tcW w:w="2302" w:type="dxa"/>
            <w:tcBorders>
              <w:top w:val="single" w:sz="8" w:space="0" w:color="006AB3"/>
              <w:left w:val="single" w:sz="8" w:space="0" w:color="006AB3"/>
              <w:bottom w:val="single" w:sz="8" w:space="0" w:color="006AB3"/>
              <w:right w:val="single" w:sz="8" w:space="0" w:color="006AB3"/>
            </w:tcBorders>
            <w:shd w:val="clear" w:color="auto" w:fill="auto"/>
          </w:tcPr>
          <w:p w14:paraId="5664BD5C" w14:textId="77777777" w:rsidR="00925771" w:rsidRPr="00935601" w:rsidRDefault="00925771" w:rsidP="00935601">
            <w:pPr>
              <w:spacing w:after="0" w:line="240" w:lineRule="auto"/>
              <w:jc w:val="center"/>
              <w:rPr>
                <w:rFonts w:cs="Arial"/>
                <w:color w:val="000000"/>
                <w:sz w:val="20"/>
                <w:szCs w:val="20"/>
              </w:rPr>
            </w:pPr>
            <w:r w:rsidRPr="00935601">
              <w:rPr>
                <w:rFonts w:cs="Arial"/>
                <w:color w:val="000000"/>
                <w:sz w:val="20"/>
                <w:szCs w:val="20"/>
              </w:rPr>
              <w:t>1998,21</w:t>
            </w:r>
          </w:p>
        </w:tc>
        <w:tc>
          <w:tcPr>
            <w:tcW w:w="2303" w:type="dxa"/>
            <w:tcBorders>
              <w:top w:val="single" w:sz="8" w:space="0" w:color="006AB3"/>
              <w:left w:val="single" w:sz="8" w:space="0" w:color="006AB3"/>
              <w:bottom w:val="single" w:sz="8" w:space="0" w:color="006AB3"/>
              <w:right w:val="single" w:sz="8" w:space="0" w:color="006AB3"/>
            </w:tcBorders>
            <w:shd w:val="clear" w:color="auto" w:fill="auto"/>
          </w:tcPr>
          <w:p w14:paraId="71C15E04" w14:textId="77777777" w:rsidR="00925771" w:rsidRPr="00935601" w:rsidRDefault="00925771" w:rsidP="00935601">
            <w:pPr>
              <w:spacing w:after="0" w:line="240" w:lineRule="auto"/>
              <w:jc w:val="center"/>
              <w:rPr>
                <w:sz w:val="20"/>
                <w:szCs w:val="20"/>
              </w:rPr>
            </w:pPr>
            <w:r w:rsidRPr="00935601">
              <w:rPr>
                <w:sz w:val="20"/>
                <w:szCs w:val="20"/>
              </w:rPr>
              <w:t>106,5</w:t>
            </w:r>
            <w:r w:rsidR="00F414D7" w:rsidRPr="00935601">
              <w:rPr>
                <w:sz w:val="20"/>
                <w:szCs w:val="20"/>
              </w:rPr>
              <w:t>5</w:t>
            </w:r>
          </w:p>
        </w:tc>
        <w:tc>
          <w:tcPr>
            <w:tcW w:w="2303" w:type="dxa"/>
            <w:tcBorders>
              <w:top w:val="single" w:sz="8" w:space="0" w:color="006AB3"/>
              <w:left w:val="single" w:sz="8" w:space="0" w:color="006AB3"/>
              <w:bottom w:val="single" w:sz="8" w:space="0" w:color="006AB3"/>
              <w:right w:val="single" w:sz="8" w:space="0" w:color="006AB3"/>
            </w:tcBorders>
            <w:shd w:val="clear" w:color="auto" w:fill="auto"/>
          </w:tcPr>
          <w:p w14:paraId="2240B95D" w14:textId="77777777" w:rsidR="00925771" w:rsidRPr="00935601" w:rsidRDefault="00925771" w:rsidP="00935601">
            <w:pPr>
              <w:spacing w:after="0" w:line="240" w:lineRule="auto"/>
              <w:jc w:val="center"/>
              <w:rPr>
                <w:sz w:val="20"/>
                <w:szCs w:val="20"/>
              </w:rPr>
            </w:pPr>
          </w:p>
        </w:tc>
      </w:tr>
      <w:tr w:rsidR="00925771" w:rsidRPr="00935601" w14:paraId="77BD7595" w14:textId="77777777" w:rsidTr="00935601">
        <w:tc>
          <w:tcPr>
            <w:tcW w:w="2302" w:type="dxa"/>
            <w:tcBorders>
              <w:top w:val="single" w:sz="8" w:space="0" w:color="006AB3"/>
              <w:left w:val="single" w:sz="8" w:space="0" w:color="006AB3"/>
              <w:bottom w:val="single" w:sz="8" w:space="0" w:color="006AB3"/>
              <w:right w:val="single" w:sz="8" w:space="0" w:color="006AB3"/>
            </w:tcBorders>
            <w:shd w:val="clear" w:color="auto" w:fill="ADDDFF"/>
          </w:tcPr>
          <w:p w14:paraId="1F6A30D6" w14:textId="77777777" w:rsidR="00925771" w:rsidRPr="00935601" w:rsidRDefault="00925771" w:rsidP="00935601">
            <w:pPr>
              <w:spacing w:after="0" w:line="240" w:lineRule="auto"/>
              <w:jc w:val="center"/>
              <w:rPr>
                <w:rFonts w:eastAsia="Times New Roman"/>
                <w:bCs/>
                <w:sz w:val="20"/>
                <w:szCs w:val="20"/>
              </w:rPr>
            </w:pPr>
            <w:r w:rsidRPr="00935601">
              <w:rPr>
                <w:rFonts w:eastAsia="Times New Roman"/>
                <w:bCs/>
                <w:sz w:val="20"/>
                <w:szCs w:val="20"/>
              </w:rPr>
              <w:t>3</w:t>
            </w:r>
          </w:p>
        </w:tc>
        <w:tc>
          <w:tcPr>
            <w:tcW w:w="2302" w:type="dxa"/>
            <w:tcBorders>
              <w:top w:val="single" w:sz="8" w:space="0" w:color="006AB3"/>
              <w:left w:val="single" w:sz="8" w:space="0" w:color="006AB3"/>
              <w:bottom w:val="single" w:sz="8" w:space="0" w:color="006AB3"/>
              <w:right w:val="single" w:sz="8" w:space="0" w:color="006AB3"/>
            </w:tcBorders>
            <w:shd w:val="clear" w:color="auto" w:fill="ADDDFF"/>
          </w:tcPr>
          <w:p w14:paraId="47E052BD" w14:textId="77777777" w:rsidR="00925771" w:rsidRPr="00935601" w:rsidRDefault="00925771" w:rsidP="00935601">
            <w:pPr>
              <w:spacing w:after="0" w:line="240" w:lineRule="auto"/>
              <w:jc w:val="center"/>
              <w:rPr>
                <w:rFonts w:cs="Arial"/>
                <w:color w:val="000000"/>
                <w:sz w:val="20"/>
                <w:szCs w:val="20"/>
              </w:rPr>
            </w:pPr>
            <w:r w:rsidRPr="00935601">
              <w:rPr>
                <w:rFonts w:cs="Arial"/>
                <w:color w:val="000000"/>
                <w:sz w:val="20"/>
                <w:szCs w:val="20"/>
              </w:rPr>
              <w:t>2031,22</w:t>
            </w:r>
          </w:p>
        </w:tc>
        <w:tc>
          <w:tcPr>
            <w:tcW w:w="2303" w:type="dxa"/>
            <w:tcBorders>
              <w:top w:val="single" w:sz="8" w:space="0" w:color="006AB3"/>
              <w:left w:val="single" w:sz="8" w:space="0" w:color="006AB3"/>
              <w:bottom w:val="single" w:sz="8" w:space="0" w:color="006AB3"/>
              <w:right w:val="single" w:sz="8" w:space="0" w:color="006AB3"/>
            </w:tcBorders>
            <w:shd w:val="clear" w:color="auto" w:fill="ADDDFF"/>
          </w:tcPr>
          <w:p w14:paraId="03D30411" w14:textId="77777777" w:rsidR="00925771" w:rsidRPr="00935601" w:rsidRDefault="00925771" w:rsidP="00935601">
            <w:pPr>
              <w:spacing w:after="0" w:line="240" w:lineRule="auto"/>
              <w:jc w:val="center"/>
              <w:rPr>
                <w:sz w:val="20"/>
                <w:szCs w:val="20"/>
              </w:rPr>
            </w:pPr>
            <w:r w:rsidRPr="00935601">
              <w:rPr>
                <w:sz w:val="20"/>
                <w:szCs w:val="20"/>
              </w:rPr>
              <w:t>108,3</w:t>
            </w:r>
            <w:r w:rsidR="00BE70B8" w:rsidRPr="00935601">
              <w:rPr>
                <w:sz w:val="20"/>
                <w:szCs w:val="20"/>
              </w:rPr>
              <w:t>1</w:t>
            </w:r>
          </w:p>
        </w:tc>
        <w:tc>
          <w:tcPr>
            <w:tcW w:w="2303" w:type="dxa"/>
            <w:tcBorders>
              <w:top w:val="single" w:sz="8" w:space="0" w:color="006AB3"/>
              <w:left w:val="single" w:sz="8" w:space="0" w:color="006AB3"/>
              <w:bottom w:val="single" w:sz="8" w:space="0" w:color="006AB3"/>
              <w:right w:val="single" w:sz="8" w:space="0" w:color="006AB3"/>
            </w:tcBorders>
            <w:shd w:val="clear" w:color="auto" w:fill="ADDDFF"/>
          </w:tcPr>
          <w:p w14:paraId="514FA6C3" w14:textId="77777777" w:rsidR="00925771" w:rsidRPr="00935601" w:rsidRDefault="00925771" w:rsidP="00935601">
            <w:pPr>
              <w:spacing w:after="0" w:line="240" w:lineRule="auto"/>
              <w:jc w:val="center"/>
              <w:rPr>
                <w:sz w:val="20"/>
                <w:szCs w:val="20"/>
              </w:rPr>
            </w:pPr>
          </w:p>
        </w:tc>
      </w:tr>
      <w:tr w:rsidR="00925771" w:rsidRPr="00935601" w14:paraId="19B17931" w14:textId="77777777" w:rsidTr="00935601">
        <w:tc>
          <w:tcPr>
            <w:tcW w:w="2302" w:type="dxa"/>
            <w:tcBorders>
              <w:top w:val="single" w:sz="8" w:space="0" w:color="006AB3"/>
              <w:left w:val="single" w:sz="8" w:space="0" w:color="006AB3"/>
              <w:bottom w:val="single" w:sz="8" w:space="0" w:color="006AB3"/>
              <w:right w:val="single" w:sz="8" w:space="0" w:color="006AB3"/>
            </w:tcBorders>
            <w:shd w:val="clear" w:color="auto" w:fill="auto"/>
          </w:tcPr>
          <w:p w14:paraId="3A54C0CD" w14:textId="77777777" w:rsidR="00925771" w:rsidRPr="00935601" w:rsidRDefault="00925771" w:rsidP="00935601">
            <w:pPr>
              <w:spacing w:after="0" w:line="240" w:lineRule="auto"/>
              <w:jc w:val="center"/>
              <w:rPr>
                <w:rFonts w:eastAsia="Times New Roman"/>
                <w:bCs/>
                <w:sz w:val="20"/>
                <w:szCs w:val="20"/>
              </w:rPr>
            </w:pPr>
            <w:r w:rsidRPr="00935601">
              <w:rPr>
                <w:rFonts w:eastAsia="Times New Roman"/>
                <w:bCs/>
                <w:sz w:val="20"/>
                <w:szCs w:val="20"/>
              </w:rPr>
              <w:t>4</w:t>
            </w:r>
          </w:p>
        </w:tc>
        <w:tc>
          <w:tcPr>
            <w:tcW w:w="2302" w:type="dxa"/>
            <w:tcBorders>
              <w:top w:val="single" w:sz="8" w:space="0" w:color="006AB3"/>
              <w:left w:val="single" w:sz="8" w:space="0" w:color="006AB3"/>
              <w:bottom w:val="single" w:sz="8" w:space="0" w:color="006AB3"/>
              <w:right w:val="single" w:sz="8" w:space="0" w:color="006AB3"/>
            </w:tcBorders>
            <w:shd w:val="clear" w:color="auto" w:fill="auto"/>
          </w:tcPr>
          <w:p w14:paraId="6075530F" w14:textId="77777777" w:rsidR="00925771" w:rsidRPr="00935601" w:rsidRDefault="00925771" w:rsidP="00935601">
            <w:pPr>
              <w:spacing w:after="0" w:line="240" w:lineRule="auto"/>
              <w:jc w:val="center"/>
              <w:rPr>
                <w:rFonts w:cs="Arial"/>
                <w:color w:val="000000"/>
                <w:sz w:val="20"/>
                <w:szCs w:val="20"/>
              </w:rPr>
            </w:pPr>
            <w:r w:rsidRPr="00935601">
              <w:rPr>
                <w:rFonts w:cs="Arial"/>
                <w:color w:val="000000"/>
                <w:sz w:val="20"/>
                <w:szCs w:val="20"/>
              </w:rPr>
              <w:t>2091,98</w:t>
            </w:r>
          </w:p>
        </w:tc>
        <w:tc>
          <w:tcPr>
            <w:tcW w:w="2303" w:type="dxa"/>
            <w:tcBorders>
              <w:top w:val="single" w:sz="8" w:space="0" w:color="006AB3"/>
              <w:left w:val="single" w:sz="8" w:space="0" w:color="006AB3"/>
              <w:bottom w:val="single" w:sz="8" w:space="0" w:color="006AB3"/>
              <w:right w:val="single" w:sz="8" w:space="0" w:color="006AB3"/>
            </w:tcBorders>
            <w:shd w:val="clear" w:color="auto" w:fill="auto"/>
          </w:tcPr>
          <w:p w14:paraId="10005772" w14:textId="77777777" w:rsidR="00925771" w:rsidRPr="00935601" w:rsidRDefault="00925771" w:rsidP="00935601">
            <w:pPr>
              <w:spacing w:after="0" w:line="240" w:lineRule="auto"/>
              <w:jc w:val="center"/>
              <w:rPr>
                <w:sz w:val="20"/>
                <w:szCs w:val="20"/>
              </w:rPr>
            </w:pPr>
            <w:r w:rsidRPr="00935601">
              <w:rPr>
                <w:sz w:val="20"/>
                <w:szCs w:val="20"/>
              </w:rPr>
              <w:t>111,</w:t>
            </w:r>
            <w:r w:rsidR="00BE70B8" w:rsidRPr="00935601">
              <w:rPr>
                <w:sz w:val="20"/>
                <w:szCs w:val="20"/>
              </w:rPr>
              <w:t>55</w:t>
            </w:r>
          </w:p>
        </w:tc>
        <w:tc>
          <w:tcPr>
            <w:tcW w:w="2303" w:type="dxa"/>
            <w:tcBorders>
              <w:top w:val="single" w:sz="8" w:space="0" w:color="006AB3"/>
              <w:left w:val="single" w:sz="8" w:space="0" w:color="006AB3"/>
              <w:bottom w:val="single" w:sz="8" w:space="0" w:color="006AB3"/>
              <w:right w:val="single" w:sz="8" w:space="0" w:color="006AB3"/>
            </w:tcBorders>
            <w:shd w:val="clear" w:color="auto" w:fill="auto"/>
          </w:tcPr>
          <w:p w14:paraId="78276097" w14:textId="77777777" w:rsidR="00925771" w:rsidRPr="00935601" w:rsidRDefault="00F414D7" w:rsidP="00935601">
            <w:pPr>
              <w:spacing w:after="0" w:line="240" w:lineRule="auto"/>
              <w:jc w:val="center"/>
              <w:rPr>
                <w:sz w:val="20"/>
                <w:szCs w:val="20"/>
              </w:rPr>
            </w:pPr>
            <w:r w:rsidRPr="00935601">
              <w:rPr>
                <w:sz w:val="20"/>
                <w:szCs w:val="20"/>
              </w:rPr>
              <w:t>2,99</w:t>
            </w:r>
          </w:p>
        </w:tc>
      </w:tr>
    </w:tbl>
    <w:p w14:paraId="48831BDA" w14:textId="77777777" w:rsidR="00D72DE8" w:rsidRDefault="00D72DE8" w:rsidP="001811EF"/>
    <w:p w14:paraId="68D045DF" w14:textId="74C37A04" w:rsidR="00CA3718" w:rsidRDefault="002508C0" w:rsidP="00352E45">
      <w:pPr>
        <w:jc w:val="both"/>
      </w:pPr>
      <w:r>
        <w:t xml:space="preserve">Im Folgenden versuchen wir </w:t>
      </w:r>
      <w:r w:rsidR="00CE7BCF">
        <w:t>das Konzept des Preiseindex und der Inflationsrate verständlich zu machen</w:t>
      </w:r>
      <w:r>
        <w:t>:</w:t>
      </w:r>
      <w:r w:rsidR="00CE7BCF">
        <w:t xml:space="preserve"> </w:t>
      </w:r>
      <w:r>
        <w:t>N</w:t>
      </w:r>
      <w:r w:rsidR="00CE7BCF">
        <w:t xml:space="preserve">ehmen wir </w:t>
      </w:r>
      <w:r w:rsidR="00C45DD2">
        <w:t xml:space="preserve">einmal </w:t>
      </w:r>
      <w:r w:rsidR="00CE7BCF">
        <w:t xml:space="preserve">an, der Warenkorb </w:t>
      </w:r>
      <w:r w:rsidR="001B6C73">
        <w:t xml:space="preserve">in Jahr 1 </w:t>
      </w:r>
      <w:r w:rsidR="00CE7BCF">
        <w:t>ha</w:t>
      </w:r>
      <w:r w:rsidR="00C45DD2">
        <w:t>be</w:t>
      </w:r>
      <w:r w:rsidR="00CE7BCF">
        <w:t xml:space="preserve"> einen Gesamtwert</w:t>
      </w:r>
      <w:r w:rsidR="00700B33">
        <w:t xml:space="preserve"> von 1875,32 Euro, was </w:t>
      </w:r>
      <w:r w:rsidR="00CE7BCF">
        <w:t>100</w:t>
      </w:r>
      <w:r w:rsidR="001B6C73">
        <w:t xml:space="preserve"> Prozent entspricht, </w:t>
      </w:r>
      <w:r w:rsidR="00700B33">
        <w:t xml:space="preserve">da es das erste </w:t>
      </w:r>
      <w:r w:rsidR="00C45DD2">
        <w:t xml:space="preserve">Jahr </w:t>
      </w:r>
      <w:r w:rsidR="00700B33">
        <w:t xml:space="preserve">bzw. </w:t>
      </w:r>
      <w:r w:rsidR="00C45DD2">
        <w:t xml:space="preserve">das </w:t>
      </w:r>
      <w:r w:rsidR="00700B33">
        <w:t>Basisjahr ist.</w:t>
      </w:r>
      <w:r w:rsidR="001B6C73">
        <w:t xml:space="preserve"> In</w:t>
      </w:r>
      <w:r w:rsidR="00CE7BCF">
        <w:t xml:space="preserve"> Jahr 4 ist der Gesamtwert auf 2091,98 Euro gestiegen. Der Preisindex beträgt nun </w:t>
      </w:r>
      <w:r w:rsidR="00D82E6A">
        <w:t>111,</w:t>
      </w:r>
      <w:r w:rsidR="00BE70B8">
        <w:t>55</w:t>
      </w:r>
      <w:r w:rsidR="00D82E6A">
        <w:t>. Da ein Preisindex immer in Relation zu der Basis 100 errechnet wird, bedeutet dies nichts anderes, als dass das</w:t>
      </w:r>
      <w:r w:rsidR="00700B33">
        <w:t xml:space="preserve"> durchschnittliche Preisniveau zwischen den Jahren 1 bis 4 um 11,</w:t>
      </w:r>
      <w:r w:rsidR="0041531A">
        <w:t>55</w:t>
      </w:r>
      <w:r w:rsidR="00700B33">
        <w:t xml:space="preserve"> Prozent gestiegen</w:t>
      </w:r>
      <w:r w:rsidR="00CA3718">
        <w:t xml:space="preserve"> </w:t>
      </w:r>
      <w:r w:rsidR="00D82E6A">
        <w:t>ist</w:t>
      </w:r>
      <w:r w:rsidR="00700B33">
        <w:t>.</w:t>
      </w:r>
      <w:r w:rsidR="00CA3718">
        <w:t xml:space="preserve"> </w:t>
      </w:r>
    </w:p>
    <w:p w14:paraId="19156763" w14:textId="77777777" w:rsidR="00E5159E" w:rsidRDefault="00CA3718" w:rsidP="00352E45">
      <w:pPr>
        <w:jc w:val="both"/>
      </w:pPr>
      <w:r>
        <w:t>Die Inflationsrate hingegen beschreibt die prozentuale Veränderung des Warenkorbpreises ni</w:t>
      </w:r>
      <w:r w:rsidR="00356FB1">
        <w:t>cht im Vergleich zu einem</w:t>
      </w:r>
      <w:r w:rsidR="00865D5D">
        <w:t xml:space="preserve"> bestimmten</w:t>
      </w:r>
      <w:r w:rsidR="00356FB1">
        <w:t xml:space="preserve"> Basisjahr, sondern</w:t>
      </w:r>
      <w:r w:rsidR="00865D5D">
        <w:t xml:space="preserve"> bezieht sich</w:t>
      </w:r>
      <w:r w:rsidR="00356FB1">
        <w:t xml:space="preserve"> immer</w:t>
      </w:r>
      <w:r w:rsidR="00865D5D">
        <w:t xml:space="preserve"> auf das Vorjahr. In Jahr 4 beträgt die Inflationsrate demnach </w:t>
      </w:r>
      <w:r w:rsidR="00E5159E">
        <w:t>2,99</w:t>
      </w:r>
      <w:r w:rsidR="00E16469">
        <w:t xml:space="preserve"> Prozent und errechnet sich entweder durch Vergleich der Güterkorbwerte 2031,22 </w:t>
      </w:r>
      <w:r w:rsidR="00E5159E">
        <w:t>(</w:t>
      </w:r>
      <w:r w:rsidR="00E16469">
        <w:t>Jahr 3</w:t>
      </w:r>
      <w:r w:rsidR="00E5159E">
        <w:t>)</w:t>
      </w:r>
      <w:r w:rsidR="00E16469">
        <w:t xml:space="preserve"> und 2091,98 </w:t>
      </w:r>
      <w:r w:rsidR="00E5159E">
        <w:t>(</w:t>
      </w:r>
      <w:r w:rsidR="00E16469">
        <w:t>Jahr 4</w:t>
      </w:r>
      <w:r w:rsidR="00E5159E">
        <w:t>)</w:t>
      </w:r>
      <w:r w:rsidR="00E16469">
        <w:t xml:space="preserve"> </w:t>
      </w:r>
      <w:r w:rsidR="00E5159E">
        <w:t>oder durch Vergleich der entsprechenden Indexwerte</w:t>
      </w:r>
      <w:r w:rsidR="00C45DD2">
        <w:t xml:space="preserve"> 108,3</w:t>
      </w:r>
      <w:r w:rsidR="0041531A">
        <w:t>1</w:t>
      </w:r>
      <w:r w:rsidR="00C45DD2">
        <w:t xml:space="preserve"> (Jahr 3) und 111,</w:t>
      </w:r>
      <w:r w:rsidR="0041531A">
        <w:t>55</w:t>
      </w:r>
      <w:r w:rsidR="00C45DD2">
        <w:t xml:space="preserve"> (Jahr 4)</w:t>
      </w:r>
      <w:r w:rsidR="00E5159E">
        <w:t xml:space="preserve">. </w:t>
      </w:r>
    </w:p>
    <w:p w14:paraId="652BFF9A" w14:textId="300AF8C0" w:rsidR="00AB5BDB" w:rsidRDefault="00E5159E" w:rsidP="006B5AC8">
      <w:pPr>
        <w:spacing w:after="60"/>
        <w:jc w:val="both"/>
      </w:pPr>
      <w:r>
        <w:t xml:space="preserve">Hier zeigt sich auch der Unterschied zwischen </w:t>
      </w:r>
      <w:r w:rsidRPr="00193E9B">
        <w:rPr>
          <w:b/>
        </w:rPr>
        <w:t>Prozent</w:t>
      </w:r>
      <w:r>
        <w:t xml:space="preserve"> und </w:t>
      </w:r>
      <w:r w:rsidRPr="00193E9B">
        <w:rPr>
          <w:b/>
        </w:rPr>
        <w:t>Prozentpunkten</w:t>
      </w:r>
      <w:r>
        <w:t>: der Preisindex stieg zwischen den Jahren 3 und 4 um 111,</w:t>
      </w:r>
      <w:r w:rsidR="0041531A">
        <w:t>55</w:t>
      </w:r>
      <w:r>
        <w:t xml:space="preserve"> – 108,3</w:t>
      </w:r>
      <w:r w:rsidR="0041531A">
        <w:t>1</w:t>
      </w:r>
      <w:r>
        <w:t xml:space="preserve"> = 3,</w:t>
      </w:r>
      <w:r w:rsidR="0041531A">
        <w:t>24</w:t>
      </w:r>
      <w:r>
        <w:t xml:space="preserve"> </w:t>
      </w:r>
      <w:r w:rsidRPr="00193E9B">
        <w:rPr>
          <w:i/>
        </w:rPr>
        <w:t>Prozentpunkte</w:t>
      </w:r>
      <w:r>
        <w:t xml:space="preserve">, was – wie oben dargestellt – einer Inflation von 2,99 </w:t>
      </w:r>
      <w:r w:rsidR="003A7EC3">
        <w:rPr>
          <w:i/>
        </w:rPr>
        <w:t>Prozent</w:t>
      </w:r>
      <w:r>
        <w:t xml:space="preserve"> entspricht.</w:t>
      </w:r>
    </w:p>
    <w:p w14:paraId="63F9B174" w14:textId="77777777" w:rsidR="00185DAC" w:rsidRPr="006B5AC8" w:rsidRDefault="006B5AC8" w:rsidP="001811EF">
      <w:pPr>
        <w:rPr>
          <w:sz w:val="16"/>
          <w:szCs w:val="16"/>
        </w:rPr>
      </w:pPr>
      <w:r w:rsidRPr="006B5AC8">
        <w:rPr>
          <w:sz w:val="16"/>
          <w:szCs w:val="16"/>
        </w:rPr>
        <w:t>(Autorentext)</w:t>
      </w:r>
    </w:p>
    <w:p w14:paraId="7D19884D" w14:textId="77777777" w:rsidR="00AB689C" w:rsidRDefault="00AB689C">
      <w:pPr>
        <w:spacing w:after="0" w:line="240" w:lineRule="auto"/>
      </w:pPr>
      <w:r>
        <w:br w:type="page"/>
      </w:r>
    </w:p>
    <w:p w14:paraId="578EF805" w14:textId="77777777" w:rsidR="00185DAC" w:rsidRPr="003A7EC3" w:rsidRDefault="00185DAC" w:rsidP="00BA0EEE">
      <w:pPr>
        <w:pStyle w:val="berschrift2"/>
        <w:spacing w:after="120"/>
        <w:jc w:val="both"/>
        <w:rPr>
          <w:color w:val="004F86"/>
          <w:sz w:val="24"/>
          <w:szCs w:val="24"/>
        </w:rPr>
      </w:pPr>
      <w:r w:rsidRPr="003A7EC3">
        <w:rPr>
          <w:color w:val="004F86"/>
          <w:sz w:val="24"/>
          <w:szCs w:val="24"/>
        </w:rPr>
        <w:lastRenderedPageBreak/>
        <w:t>Fragen und Aufgaben zum Text:</w:t>
      </w:r>
    </w:p>
    <w:p w14:paraId="22CDB002" w14:textId="77777777" w:rsidR="00BA0EEE" w:rsidRPr="00BA0EEE" w:rsidRDefault="00BA0EEE" w:rsidP="00BA0EEE"/>
    <w:p w14:paraId="47E60E8C" w14:textId="2AA2F9CA" w:rsidR="00BA0EEE" w:rsidRPr="00BA0EEE" w:rsidRDefault="003A7EC3" w:rsidP="00BA0EEE">
      <w:pPr>
        <w:pStyle w:val="Listenabsatz"/>
        <w:numPr>
          <w:ilvl w:val="0"/>
          <w:numId w:val="6"/>
        </w:numPr>
        <w:suppressLineNumbers/>
        <w:autoSpaceDE w:val="0"/>
        <w:autoSpaceDN w:val="0"/>
        <w:adjustRightInd w:val="0"/>
        <w:spacing w:after="120"/>
        <w:ind w:left="714" w:hanging="357"/>
        <w:contextualSpacing w:val="0"/>
        <w:rPr>
          <w:rFonts w:cs="Arial"/>
        </w:rPr>
      </w:pPr>
      <w:r>
        <w:rPr>
          <w:rFonts w:cs="Arial"/>
        </w:rPr>
        <w:t>Bitte d</w:t>
      </w:r>
      <w:r w:rsidR="00185DAC" w:rsidRPr="00935601">
        <w:rPr>
          <w:rFonts w:cs="Arial"/>
        </w:rPr>
        <w:t>iskutier</w:t>
      </w:r>
      <w:r>
        <w:rPr>
          <w:rFonts w:cs="Arial"/>
        </w:rPr>
        <w:t xml:space="preserve">t über </w:t>
      </w:r>
      <w:r w:rsidR="00185DAC" w:rsidRPr="00935601">
        <w:rPr>
          <w:rFonts w:cs="Arial"/>
        </w:rPr>
        <w:t xml:space="preserve">den historischen Exkurs zur </w:t>
      </w:r>
      <w:r w:rsidR="0092419A" w:rsidRPr="00935601">
        <w:rPr>
          <w:rFonts w:cs="Arial"/>
        </w:rPr>
        <w:t>Hyperinflation</w:t>
      </w:r>
      <w:r w:rsidR="00185DAC" w:rsidRPr="00935601">
        <w:rPr>
          <w:rFonts w:cs="Arial"/>
        </w:rPr>
        <w:t xml:space="preserve"> </w:t>
      </w:r>
      <w:r w:rsidR="00FB47E5" w:rsidRPr="00935601">
        <w:rPr>
          <w:rFonts w:cs="Arial"/>
        </w:rPr>
        <w:t>im Jahr 1923</w:t>
      </w:r>
      <w:r w:rsidR="00185DAC" w:rsidRPr="00935601">
        <w:rPr>
          <w:rFonts w:cs="Arial"/>
        </w:rPr>
        <w:t xml:space="preserve"> und versuch</w:t>
      </w:r>
      <w:r>
        <w:rPr>
          <w:rFonts w:cs="Arial"/>
        </w:rPr>
        <w:t>t</w:t>
      </w:r>
      <w:r w:rsidR="00185DAC" w:rsidRPr="00935601">
        <w:rPr>
          <w:rFonts w:cs="Arial"/>
        </w:rPr>
        <w:t xml:space="preserve"> zu verstehen, warum Preisniveaustabilität im öffentlichen Bewusstsein </w:t>
      </w:r>
      <w:r>
        <w:rPr>
          <w:rFonts w:cs="Arial"/>
        </w:rPr>
        <w:t xml:space="preserve">in </w:t>
      </w:r>
      <w:r w:rsidR="00185DAC" w:rsidRPr="00935601">
        <w:rPr>
          <w:rFonts w:cs="Arial"/>
        </w:rPr>
        <w:t>Deutsch</w:t>
      </w:r>
      <w:r>
        <w:rPr>
          <w:rFonts w:cs="Arial"/>
        </w:rPr>
        <w:t>land</w:t>
      </w:r>
      <w:r w:rsidR="00185DAC" w:rsidRPr="00935601">
        <w:rPr>
          <w:rFonts w:cs="Arial"/>
        </w:rPr>
        <w:t xml:space="preserve"> </w:t>
      </w:r>
      <w:r w:rsidR="00A73909" w:rsidRPr="00935601">
        <w:rPr>
          <w:rFonts w:cs="Arial"/>
        </w:rPr>
        <w:t xml:space="preserve">heute </w:t>
      </w:r>
      <w:r w:rsidR="00185DAC" w:rsidRPr="00935601">
        <w:rPr>
          <w:rFonts w:cs="Arial"/>
        </w:rPr>
        <w:t xml:space="preserve">eine solch hohe Bedeutung hat.  </w:t>
      </w:r>
      <w:r w:rsidR="00BA0EEE">
        <w:rPr>
          <w:rFonts w:cs="Arial"/>
        </w:rPr>
        <w:br/>
      </w:r>
    </w:p>
    <w:p w14:paraId="5FC8F82F" w14:textId="1C7384A7" w:rsidR="00185DAC" w:rsidRPr="00935601" w:rsidRDefault="003A7EC3" w:rsidP="00185DAC">
      <w:pPr>
        <w:pStyle w:val="Listenabsatz"/>
        <w:numPr>
          <w:ilvl w:val="0"/>
          <w:numId w:val="6"/>
        </w:numPr>
        <w:suppressLineNumbers/>
        <w:autoSpaceDE w:val="0"/>
        <w:autoSpaceDN w:val="0"/>
        <w:adjustRightInd w:val="0"/>
        <w:spacing w:after="120"/>
        <w:ind w:left="714" w:hanging="357"/>
        <w:contextualSpacing w:val="0"/>
        <w:rPr>
          <w:rFonts w:cs="Arial"/>
        </w:rPr>
      </w:pPr>
      <w:r>
        <w:rPr>
          <w:rFonts w:cs="Arial"/>
        </w:rPr>
        <w:t>Bitte e</w:t>
      </w:r>
      <w:r w:rsidR="00185DAC" w:rsidRPr="00935601">
        <w:rPr>
          <w:rFonts w:cs="Arial"/>
        </w:rPr>
        <w:t>rörter</w:t>
      </w:r>
      <w:r>
        <w:rPr>
          <w:rFonts w:cs="Arial"/>
        </w:rPr>
        <w:t>t</w:t>
      </w:r>
      <w:r w:rsidR="00185DAC" w:rsidRPr="00935601">
        <w:rPr>
          <w:rFonts w:cs="Arial"/>
        </w:rPr>
        <w:t xml:space="preserve">, was im Warenkorb, der zur Messung der Inflation genommen wird, enthalten sein sollte. Sollten </w:t>
      </w:r>
      <w:r>
        <w:rPr>
          <w:rFonts w:cs="Arial"/>
        </w:rPr>
        <w:t xml:space="preserve">Autos wie z. B. </w:t>
      </w:r>
      <w:r w:rsidR="00185DAC" w:rsidRPr="00935601">
        <w:rPr>
          <w:rFonts w:cs="Arial"/>
        </w:rPr>
        <w:t>Rolls Royce, Petroleumlampe</w:t>
      </w:r>
      <w:r w:rsidR="0092419A" w:rsidRPr="00935601">
        <w:rPr>
          <w:rFonts w:cs="Arial"/>
        </w:rPr>
        <w:t>n</w:t>
      </w:r>
      <w:r w:rsidR="00185DAC" w:rsidRPr="00935601">
        <w:rPr>
          <w:rFonts w:cs="Arial"/>
        </w:rPr>
        <w:t xml:space="preserve"> und Backofenpommes Bestandteil des Warenkorbs sein? (nur eines der drei Produkte ist im Warenkorb enthalten)</w:t>
      </w:r>
      <w:r w:rsidR="00BA0EEE">
        <w:rPr>
          <w:rFonts w:cs="Arial"/>
        </w:rPr>
        <w:br/>
      </w:r>
    </w:p>
    <w:p w14:paraId="3BE60F6C" w14:textId="6BA75AC3" w:rsidR="00185DAC" w:rsidRPr="00935601" w:rsidRDefault="00185DAC" w:rsidP="00185DAC">
      <w:pPr>
        <w:pStyle w:val="Listenabsatz"/>
        <w:numPr>
          <w:ilvl w:val="0"/>
          <w:numId w:val="6"/>
        </w:numPr>
        <w:suppressLineNumbers/>
        <w:autoSpaceDE w:val="0"/>
        <w:autoSpaceDN w:val="0"/>
        <w:adjustRightInd w:val="0"/>
        <w:spacing w:after="120"/>
        <w:ind w:left="714" w:hanging="357"/>
        <w:contextualSpacing w:val="0"/>
        <w:rPr>
          <w:rFonts w:cs="Arial"/>
        </w:rPr>
      </w:pPr>
      <w:r w:rsidRPr="00935601">
        <w:rPr>
          <w:rFonts w:cs="Arial"/>
        </w:rPr>
        <w:t>Für wen gilt die amtlich</w:t>
      </w:r>
      <w:r w:rsidR="00BB2791" w:rsidRPr="00935601">
        <w:rPr>
          <w:rFonts w:cs="Arial"/>
        </w:rPr>
        <w:t xml:space="preserve"> errechnete</w:t>
      </w:r>
      <w:r w:rsidRPr="00935601">
        <w:rPr>
          <w:rFonts w:cs="Arial"/>
        </w:rPr>
        <w:t xml:space="preserve"> Inflationsrate? </w:t>
      </w:r>
      <w:r w:rsidR="003A7EC3">
        <w:rPr>
          <w:rFonts w:cs="Arial"/>
        </w:rPr>
        <w:t>Bitte s</w:t>
      </w:r>
      <w:r w:rsidR="00BB2791" w:rsidRPr="00935601">
        <w:rPr>
          <w:rFonts w:cs="Arial"/>
        </w:rPr>
        <w:t>tell</w:t>
      </w:r>
      <w:r w:rsidR="003A7EC3">
        <w:rPr>
          <w:rFonts w:cs="Arial"/>
        </w:rPr>
        <w:t>t</w:t>
      </w:r>
      <w:r w:rsidR="00BB2791" w:rsidRPr="00935601">
        <w:rPr>
          <w:rFonts w:cs="Arial"/>
        </w:rPr>
        <w:t xml:space="preserve"> dieser </w:t>
      </w:r>
      <w:r w:rsidR="0092419A" w:rsidRPr="00935601">
        <w:rPr>
          <w:rFonts w:cs="Arial"/>
        </w:rPr>
        <w:t xml:space="preserve">Inflation </w:t>
      </w:r>
      <w:r w:rsidR="00BB2791" w:rsidRPr="00935601">
        <w:rPr>
          <w:rFonts w:cs="Arial"/>
        </w:rPr>
        <w:t>eine „persönliche“ bzw. „gefühlte“ Inflation gegenüber.</w:t>
      </w:r>
      <w:r w:rsidR="00BA0EEE">
        <w:rPr>
          <w:rFonts w:cs="Arial"/>
        </w:rPr>
        <w:br/>
      </w:r>
    </w:p>
    <w:p w14:paraId="03EA6EBD" w14:textId="35919BF6" w:rsidR="00185DAC" w:rsidRPr="00935601" w:rsidRDefault="00185DAC" w:rsidP="00185DAC">
      <w:pPr>
        <w:pStyle w:val="Listenabsatz"/>
        <w:numPr>
          <w:ilvl w:val="0"/>
          <w:numId w:val="6"/>
        </w:numPr>
        <w:suppressLineNumbers/>
        <w:autoSpaceDE w:val="0"/>
        <w:autoSpaceDN w:val="0"/>
        <w:adjustRightInd w:val="0"/>
        <w:spacing w:after="120"/>
        <w:ind w:left="714" w:hanging="357"/>
        <w:contextualSpacing w:val="0"/>
        <w:rPr>
          <w:rFonts w:cs="Arial"/>
        </w:rPr>
      </w:pPr>
      <w:r w:rsidRPr="00935601">
        <w:rPr>
          <w:rFonts w:cs="Arial"/>
        </w:rPr>
        <w:t>Welche Formel liefert den Preisindex</w:t>
      </w:r>
      <w:r w:rsidR="00032144">
        <w:rPr>
          <w:rFonts w:cs="Arial"/>
        </w:rPr>
        <w:t xml:space="preserve"> bei der </w:t>
      </w:r>
      <w:r w:rsidR="00032144" w:rsidRPr="00935601">
        <w:rPr>
          <w:rFonts w:cs="Arial"/>
        </w:rPr>
        <w:t>Indexberechnung</w:t>
      </w:r>
      <w:r w:rsidRPr="00935601">
        <w:rPr>
          <w:rFonts w:cs="Arial"/>
        </w:rPr>
        <w:t>?</w:t>
      </w:r>
      <w:r w:rsidR="00032144">
        <w:rPr>
          <w:rFonts w:cs="Arial"/>
        </w:rPr>
        <w:t xml:space="preserve"> Bitte e</w:t>
      </w:r>
      <w:r w:rsidRPr="00935601">
        <w:rPr>
          <w:rFonts w:cs="Arial"/>
        </w:rPr>
        <w:t>rgänz</w:t>
      </w:r>
      <w:r w:rsidR="00032144">
        <w:rPr>
          <w:rFonts w:cs="Arial"/>
        </w:rPr>
        <w:t>t</w:t>
      </w:r>
      <w:r w:rsidRPr="00935601">
        <w:rPr>
          <w:rFonts w:cs="Arial"/>
        </w:rPr>
        <w:t xml:space="preserve"> die fehlenden Inflationsraten für die Jahre 2 und 3.</w:t>
      </w:r>
      <w:r w:rsidR="00BA0EEE">
        <w:rPr>
          <w:rFonts w:cs="Arial"/>
        </w:rPr>
        <w:br/>
      </w:r>
    </w:p>
    <w:p w14:paraId="53A70D98" w14:textId="4507950A" w:rsidR="00185DAC" w:rsidRPr="00935601" w:rsidRDefault="00185DAC" w:rsidP="00185DAC">
      <w:pPr>
        <w:pStyle w:val="Listenabsatz"/>
        <w:numPr>
          <w:ilvl w:val="0"/>
          <w:numId w:val="6"/>
        </w:numPr>
        <w:suppressLineNumbers/>
        <w:autoSpaceDE w:val="0"/>
        <w:autoSpaceDN w:val="0"/>
        <w:adjustRightInd w:val="0"/>
        <w:spacing w:after="0"/>
        <w:rPr>
          <w:rFonts w:cs="Arial"/>
        </w:rPr>
      </w:pPr>
      <w:r w:rsidRPr="00935601">
        <w:rPr>
          <w:rFonts w:cs="Arial"/>
        </w:rPr>
        <w:t xml:space="preserve">Häufig werden die Begriffe Prozent und Prozentpunkt verwechselt. </w:t>
      </w:r>
      <w:r w:rsidR="00032144">
        <w:rPr>
          <w:rFonts w:cs="Arial"/>
        </w:rPr>
        <w:t>Bitte e</w:t>
      </w:r>
      <w:r w:rsidRPr="00935601">
        <w:rPr>
          <w:rFonts w:cs="Arial"/>
        </w:rPr>
        <w:t>rläuter</w:t>
      </w:r>
      <w:r w:rsidR="00032144">
        <w:rPr>
          <w:rFonts w:cs="Arial"/>
        </w:rPr>
        <w:t>t</w:t>
      </w:r>
      <w:r w:rsidRPr="00935601">
        <w:rPr>
          <w:rFonts w:cs="Arial"/>
        </w:rPr>
        <w:t xml:space="preserve"> den Unterschied anh</w:t>
      </w:r>
      <w:r w:rsidR="0092419A" w:rsidRPr="00935601">
        <w:rPr>
          <w:rFonts w:cs="Arial"/>
        </w:rPr>
        <w:t xml:space="preserve">and des folgenden Beispiels: </w:t>
      </w:r>
      <w:r w:rsidR="00032144">
        <w:rPr>
          <w:rFonts w:cs="Arial"/>
        </w:rPr>
        <w:t>Z</w:t>
      </w:r>
      <w:r w:rsidR="0092419A" w:rsidRPr="00935601">
        <w:rPr>
          <w:rFonts w:cs="Arial"/>
        </w:rPr>
        <w:t>ur</w:t>
      </w:r>
      <w:r w:rsidRPr="00935601">
        <w:rPr>
          <w:rFonts w:cs="Arial"/>
        </w:rPr>
        <w:t xml:space="preserve"> diesjährigen Einführungswoche an der Uni</w:t>
      </w:r>
      <w:r w:rsidR="00032144">
        <w:rPr>
          <w:rFonts w:cs="Arial"/>
        </w:rPr>
        <w:t>versität</w:t>
      </w:r>
      <w:r w:rsidRPr="00935601">
        <w:rPr>
          <w:rFonts w:cs="Arial"/>
        </w:rPr>
        <w:t xml:space="preserve"> sind 15</w:t>
      </w:r>
      <w:r w:rsidR="00032144">
        <w:rPr>
          <w:rFonts w:cs="Arial"/>
        </w:rPr>
        <w:t xml:space="preserve"> Prozent</w:t>
      </w:r>
      <w:r w:rsidRPr="00935601">
        <w:rPr>
          <w:rFonts w:cs="Arial"/>
        </w:rPr>
        <w:t xml:space="preserve"> der Studenteninnen</w:t>
      </w:r>
      <w:r w:rsidR="00032144">
        <w:rPr>
          <w:rFonts w:cs="Arial"/>
        </w:rPr>
        <w:t xml:space="preserve"> und Studenten</w:t>
      </w:r>
      <w:r w:rsidRPr="00935601">
        <w:rPr>
          <w:rFonts w:cs="Arial"/>
        </w:rPr>
        <w:t xml:space="preserve"> erschienen. Im Jahr davor waren es 12</w:t>
      </w:r>
      <w:r w:rsidR="00032144">
        <w:rPr>
          <w:rFonts w:cs="Arial"/>
        </w:rPr>
        <w:t xml:space="preserve"> Prozent</w:t>
      </w:r>
      <w:r w:rsidRPr="00935601">
        <w:rPr>
          <w:rFonts w:cs="Arial"/>
        </w:rPr>
        <w:t xml:space="preserve">. Wie stark ist die Veränderung in Prozent bzw. in Prozentpunkten? </w:t>
      </w:r>
    </w:p>
    <w:p w14:paraId="4AC15E41" w14:textId="44CC54CF" w:rsidR="00AB689C" w:rsidRDefault="00AB689C">
      <w:pPr>
        <w:spacing w:after="0" w:line="240" w:lineRule="auto"/>
      </w:pPr>
      <w:bookmarkStart w:id="0" w:name="_GoBack"/>
      <w:bookmarkEnd w:id="0"/>
    </w:p>
    <w:sectPr w:rsidR="00AB689C" w:rsidSect="00AB689C">
      <w:headerReference w:type="default" r:id="rId9"/>
      <w:footerReference w:type="default" r:id="rId10"/>
      <w:pgSz w:w="11906" w:h="16838"/>
      <w:pgMar w:top="1418" w:right="1418" w:bottom="1134" w:left="1418" w:header="0" w:footer="4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97E40" w14:textId="77777777" w:rsidR="004204B3" w:rsidRDefault="004204B3" w:rsidP="006E3397">
      <w:pPr>
        <w:spacing w:after="0" w:line="240" w:lineRule="auto"/>
      </w:pPr>
      <w:r>
        <w:separator/>
      </w:r>
    </w:p>
  </w:endnote>
  <w:endnote w:type="continuationSeparator" w:id="0">
    <w:p w14:paraId="3441090F" w14:textId="77777777" w:rsidR="004204B3" w:rsidRDefault="004204B3" w:rsidP="006E3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E236C" w14:textId="0BD92F50" w:rsidR="00032144" w:rsidRDefault="00032144" w:rsidP="005B0E40">
    <w:pPr>
      <w:pStyle w:val="Fuzeile"/>
      <w:ind w:left="-567"/>
      <w:jc w:val="right"/>
      <w:rPr>
        <w:sz w:val="20"/>
        <w:szCs w:val="20"/>
      </w:rPr>
    </w:pPr>
    <w:r>
      <w:rPr>
        <w:noProof/>
        <w:sz w:val="20"/>
        <w:szCs w:val="20"/>
      </w:rPr>
      <w:drawing>
        <wp:inline distT="0" distB="0" distL="0" distR="0" wp14:anchorId="25F8B84D" wp14:editId="7087A98D">
          <wp:extent cx="5759450" cy="27559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ußzeile_Hochformat.jpg"/>
                  <pic:cNvPicPr/>
                </pic:nvPicPr>
                <pic:blipFill>
                  <a:blip r:embed="rId1">
                    <a:extLst>
                      <a:ext uri="{28A0092B-C50C-407E-A947-70E740481C1C}">
                        <a14:useLocalDpi xmlns:a14="http://schemas.microsoft.com/office/drawing/2010/main" val="0"/>
                      </a:ext>
                    </a:extLst>
                  </a:blip>
                  <a:stretch>
                    <a:fillRect/>
                  </a:stretch>
                </pic:blipFill>
                <pic:spPr>
                  <a:xfrm>
                    <a:off x="0" y="0"/>
                    <a:ext cx="5759450" cy="275590"/>
                  </a:xfrm>
                  <a:prstGeom prst="rect">
                    <a:avLst/>
                  </a:prstGeom>
                </pic:spPr>
              </pic:pic>
            </a:graphicData>
          </a:graphic>
        </wp:inline>
      </w:drawing>
    </w:r>
    <w:r w:rsidRPr="006E3397">
      <w:rPr>
        <w:sz w:val="20"/>
        <w:szCs w:val="20"/>
      </w:rPr>
      <w:fldChar w:fldCharType="begin"/>
    </w:r>
    <w:r w:rsidRPr="006E3397">
      <w:rPr>
        <w:sz w:val="20"/>
        <w:szCs w:val="20"/>
      </w:rPr>
      <w:instrText>PAGE   \* MERGEFORMAT</w:instrText>
    </w:r>
    <w:r w:rsidRPr="006E3397">
      <w:rPr>
        <w:sz w:val="20"/>
        <w:szCs w:val="20"/>
      </w:rPr>
      <w:fldChar w:fldCharType="separate"/>
    </w:r>
    <w:r>
      <w:rPr>
        <w:noProof/>
        <w:sz w:val="20"/>
        <w:szCs w:val="20"/>
      </w:rPr>
      <w:t>6</w:t>
    </w:r>
    <w:r w:rsidRPr="006E3397">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9CEC9" w14:textId="77777777" w:rsidR="004204B3" w:rsidRDefault="004204B3" w:rsidP="006E3397">
      <w:pPr>
        <w:spacing w:after="0" w:line="240" w:lineRule="auto"/>
      </w:pPr>
      <w:r>
        <w:separator/>
      </w:r>
    </w:p>
  </w:footnote>
  <w:footnote w:type="continuationSeparator" w:id="0">
    <w:p w14:paraId="0D9EA5DC" w14:textId="77777777" w:rsidR="004204B3" w:rsidRDefault="004204B3" w:rsidP="006E3397">
      <w:pPr>
        <w:spacing w:after="0" w:line="240" w:lineRule="auto"/>
      </w:pPr>
      <w:r>
        <w:continuationSeparator/>
      </w:r>
    </w:p>
  </w:footnote>
  <w:footnote w:id="1">
    <w:p w14:paraId="6258E1F2" w14:textId="31A26D3B" w:rsidR="00032144" w:rsidRDefault="00032144">
      <w:pPr>
        <w:pStyle w:val="Funotentext"/>
      </w:pPr>
      <w:r>
        <w:rPr>
          <w:rStyle w:val="Funotenzeichen"/>
        </w:rPr>
        <w:footnoteRef/>
      </w:r>
      <w:r>
        <w:t xml:space="preserve"> </w:t>
      </w:r>
      <w:r w:rsidRPr="009B6B4B">
        <w:t>https://www.ecb.europa.eu/ecb/educational/pricestab/shared/movie/EZB_Booklet_2011_DE_web.pdf?542249019169e4bc340f8e29c8b97700</w:t>
      </w:r>
      <w:r w:rsidRPr="006A24B5">
        <w:t>)</w:t>
      </w:r>
      <w:r>
        <w:t>. [11.12.2019].</w:t>
      </w:r>
    </w:p>
  </w:footnote>
  <w:footnote w:id="2">
    <w:p w14:paraId="18A3A495" w14:textId="2C7F6F2C" w:rsidR="00032144" w:rsidRDefault="00032144">
      <w:pPr>
        <w:pStyle w:val="Funotentext"/>
      </w:pPr>
      <w:r>
        <w:rPr>
          <w:rStyle w:val="Funotenzeichen"/>
        </w:rPr>
        <w:footnoteRef/>
      </w:r>
      <w:r>
        <w:t xml:space="preserve"> Ebd.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2C855" w14:textId="3C3210FB" w:rsidR="00032144" w:rsidRPr="00D82C5F" w:rsidRDefault="00032144" w:rsidP="00D82C5F">
    <w:pPr>
      <w:pStyle w:val="Kopfzeile"/>
    </w:pPr>
    <w:r>
      <w:rPr>
        <w:noProof/>
      </w:rPr>
      <w:drawing>
        <wp:anchor distT="0" distB="0" distL="114300" distR="114300" simplePos="0" relativeHeight="251672576" behindDoc="0" locked="0" layoutInCell="1" allowOverlap="1" wp14:anchorId="67C247B2" wp14:editId="48680AE8">
          <wp:simplePos x="0" y="0"/>
          <wp:positionH relativeFrom="column">
            <wp:posOffset>4445</wp:posOffset>
          </wp:positionH>
          <wp:positionV relativeFrom="paragraph">
            <wp:posOffset>219075</wp:posOffset>
          </wp:positionV>
          <wp:extent cx="5759450" cy="51625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ushalte und Geld_Hochformat.jpg"/>
                  <pic:cNvPicPr/>
                </pic:nvPicPr>
                <pic:blipFill>
                  <a:blip r:embed="rId1">
                    <a:extLst>
                      <a:ext uri="{28A0092B-C50C-407E-A947-70E740481C1C}">
                        <a14:useLocalDpi xmlns:a14="http://schemas.microsoft.com/office/drawing/2010/main" val="0"/>
                      </a:ext>
                    </a:extLst>
                  </a:blip>
                  <a:stretch>
                    <a:fillRect/>
                  </a:stretch>
                </pic:blipFill>
                <pic:spPr>
                  <a:xfrm>
                    <a:off x="0" y="0"/>
                    <a:ext cx="5759450" cy="5162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A4631"/>
    <w:multiLevelType w:val="hybridMultilevel"/>
    <w:tmpl w:val="C366A92E"/>
    <w:lvl w:ilvl="0" w:tplc="1EC0189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12CD6371"/>
    <w:multiLevelType w:val="hybridMultilevel"/>
    <w:tmpl w:val="52700E04"/>
    <w:lvl w:ilvl="0" w:tplc="2200E338">
      <w:start w:val="1"/>
      <w:numFmt w:val="bullet"/>
      <w:lvlText w:val=""/>
      <w:lvlJc w:val="left"/>
      <w:pPr>
        <w:tabs>
          <w:tab w:val="num" w:pos="720"/>
        </w:tabs>
        <w:ind w:left="720" w:hanging="360"/>
      </w:pPr>
      <w:rPr>
        <w:rFonts w:ascii="Symbol" w:hAnsi="Symbol" w:hint="default"/>
        <w:color w:val="004F86"/>
        <w:sz w:val="1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1986114"/>
    <w:multiLevelType w:val="hybridMultilevel"/>
    <w:tmpl w:val="FE3A8344"/>
    <w:lvl w:ilvl="0" w:tplc="32240F64">
      <w:start w:val="1"/>
      <w:numFmt w:val="decimal"/>
      <w:lvlText w:val="(%1)"/>
      <w:lvlJc w:val="left"/>
      <w:pPr>
        <w:tabs>
          <w:tab w:val="num" w:pos="720"/>
        </w:tabs>
        <w:ind w:left="720" w:hanging="360"/>
      </w:pPr>
      <w:rPr>
        <w:color w:val="004F8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31BE7A9D"/>
    <w:multiLevelType w:val="hybridMultilevel"/>
    <w:tmpl w:val="F4B69B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C8D0631"/>
    <w:multiLevelType w:val="hybridMultilevel"/>
    <w:tmpl w:val="F050EA82"/>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54087172"/>
    <w:multiLevelType w:val="hybridMultilevel"/>
    <w:tmpl w:val="3F7CE900"/>
    <w:lvl w:ilvl="0" w:tplc="DAA0B8D4">
      <w:start w:val="1"/>
      <w:numFmt w:val="bullet"/>
      <w:lvlText w:val=""/>
      <w:lvlJc w:val="left"/>
      <w:pPr>
        <w:ind w:left="720" w:hanging="360"/>
      </w:pPr>
      <w:rPr>
        <w:rFonts w:ascii="Wingdings" w:hAnsi="Wingdings" w:hint="default"/>
        <w:color w:val="006AB3"/>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8075D71"/>
    <w:multiLevelType w:val="hybridMultilevel"/>
    <w:tmpl w:val="ECF4D5EA"/>
    <w:lvl w:ilvl="0" w:tplc="0E343D0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BEB68CD"/>
    <w:multiLevelType w:val="hybridMultilevel"/>
    <w:tmpl w:val="695EB5A6"/>
    <w:lvl w:ilvl="0" w:tplc="3014BAC6">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21E2D51"/>
    <w:multiLevelType w:val="hybridMultilevel"/>
    <w:tmpl w:val="423C6FD6"/>
    <w:lvl w:ilvl="0" w:tplc="F766A6A2">
      <w:start w:val="3"/>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9BA2B42"/>
    <w:multiLevelType w:val="hybridMultilevel"/>
    <w:tmpl w:val="ECF4D5EA"/>
    <w:lvl w:ilvl="0" w:tplc="0E343D0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B280382"/>
    <w:multiLevelType w:val="hybridMultilevel"/>
    <w:tmpl w:val="2356E0BE"/>
    <w:lvl w:ilvl="0" w:tplc="1EC0189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 w15:restartNumberingAfterBreak="0">
    <w:nsid w:val="7D31276F"/>
    <w:multiLevelType w:val="hybridMultilevel"/>
    <w:tmpl w:val="C366A92E"/>
    <w:lvl w:ilvl="0" w:tplc="1EC0189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1"/>
  </w:num>
  <w:num w:numId="2">
    <w:abstractNumId w:val="2"/>
  </w:num>
  <w:num w:numId="3">
    <w:abstractNumId w:val="7"/>
  </w:num>
  <w:num w:numId="4">
    <w:abstractNumId w:val="11"/>
  </w:num>
  <w:num w:numId="5">
    <w:abstractNumId w:val="5"/>
  </w:num>
  <w:num w:numId="6">
    <w:abstractNumId w:val="9"/>
  </w:num>
  <w:num w:numId="7">
    <w:abstractNumId w:val="4"/>
  </w:num>
  <w:num w:numId="8">
    <w:abstractNumId w:val="6"/>
  </w:num>
  <w:num w:numId="9">
    <w:abstractNumId w:val="10"/>
  </w:num>
  <w:num w:numId="10">
    <w:abstractNumId w:val="0"/>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1E1"/>
    <w:rsid w:val="00001616"/>
    <w:rsid w:val="000066E6"/>
    <w:rsid w:val="000171B1"/>
    <w:rsid w:val="00032144"/>
    <w:rsid w:val="00041F70"/>
    <w:rsid w:val="00051725"/>
    <w:rsid w:val="00051BA5"/>
    <w:rsid w:val="00053491"/>
    <w:rsid w:val="00054D59"/>
    <w:rsid w:val="00056BBB"/>
    <w:rsid w:val="00060CA0"/>
    <w:rsid w:val="000856AF"/>
    <w:rsid w:val="000A4F92"/>
    <w:rsid w:val="000B2A20"/>
    <w:rsid w:val="000B6C96"/>
    <w:rsid w:val="000D11C2"/>
    <w:rsid w:val="000D13A4"/>
    <w:rsid w:val="000D7977"/>
    <w:rsid w:val="000D7A7C"/>
    <w:rsid w:val="00110F58"/>
    <w:rsid w:val="00127D4A"/>
    <w:rsid w:val="001315A0"/>
    <w:rsid w:val="001520FE"/>
    <w:rsid w:val="001524F7"/>
    <w:rsid w:val="00166F20"/>
    <w:rsid w:val="0017102E"/>
    <w:rsid w:val="00175FD4"/>
    <w:rsid w:val="001811EF"/>
    <w:rsid w:val="00185DAC"/>
    <w:rsid w:val="00185EAD"/>
    <w:rsid w:val="00187F9E"/>
    <w:rsid w:val="001921C1"/>
    <w:rsid w:val="00193E9B"/>
    <w:rsid w:val="001B193B"/>
    <w:rsid w:val="001B6C73"/>
    <w:rsid w:val="001E3D8B"/>
    <w:rsid w:val="001E73BA"/>
    <w:rsid w:val="001F3F5E"/>
    <w:rsid w:val="001F6392"/>
    <w:rsid w:val="00203965"/>
    <w:rsid w:val="002105F5"/>
    <w:rsid w:val="00215D2D"/>
    <w:rsid w:val="00216CF9"/>
    <w:rsid w:val="0022576F"/>
    <w:rsid w:val="00234F08"/>
    <w:rsid w:val="0024299A"/>
    <w:rsid w:val="002457DF"/>
    <w:rsid w:val="00245FA3"/>
    <w:rsid w:val="002508C0"/>
    <w:rsid w:val="0025465E"/>
    <w:rsid w:val="002573C9"/>
    <w:rsid w:val="00262050"/>
    <w:rsid w:val="00262713"/>
    <w:rsid w:val="00267420"/>
    <w:rsid w:val="002750AC"/>
    <w:rsid w:val="00293FD9"/>
    <w:rsid w:val="002B0E5C"/>
    <w:rsid w:val="002D32F6"/>
    <w:rsid w:val="002E1521"/>
    <w:rsid w:val="002E1D9D"/>
    <w:rsid w:val="002F6164"/>
    <w:rsid w:val="00300A55"/>
    <w:rsid w:val="00310010"/>
    <w:rsid w:val="003104D6"/>
    <w:rsid w:val="00317A9A"/>
    <w:rsid w:val="003333FD"/>
    <w:rsid w:val="003337FD"/>
    <w:rsid w:val="003457D9"/>
    <w:rsid w:val="00352E45"/>
    <w:rsid w:val="0035457F"/>
    <w:rsid w:val="00356FB1"/>
    <w:rsid w:val="003655D2"/>
    <w:rsid w:val="00371D66"/>
    <w:rsid w:val="003752DD"/>
    <w:rsid w:val="003808E0"/>
    <w:rsid w:val="00396897"/>
    <w:rsid w:val="003A72A8"/>
    <w:rsid w:val="003A7EC3"/>
    <w:rsid w:val="003C1661"/>
    <w:rsid w:val="003C180B"/>
    <w:rsid w:val="003C468D"/>
    <w:rsid w:val="003D07B6"/>
    <w:rsid w:val="003D26D5"/>
    <w:rsid w:val="003E1818"/>
    <w:rsid w:val="003E55C9"/>
    <w:rsid w:val="00400FDA"/>
    <w:rsid w:val="0041531A"/>
    <w:rsid w:val="004162C2"/>
    <w:rsid w:val="004177A0"/>
    <w:rsid w:val="004204B3"/>
    <w:rsid w:val="004412D7"/>
    <w:rsid w:val="004566E8"/>
    <w:rsid w:val="00456FAD"/>
    <w:rsid w:val="0046752F"/>
    <w:rsid w:val="004813AB"/>
    <w:rsid w:val="00486229"/>
    <w:rsid w:val="0048769C"/>
    <w:rsid w:val="00495886"/>
    <w:rsid w:val="004A5505"/>
    <w:rsid w:val="004A62DD"/>
    <w:rsid w:val="004B4011"/>
    <w:rsid w:val="004B60D7"/>
    <w:rsid w:val="004B6AA2"/>
    <w:rsid w:val="004B733D"/>
    <w:rsid w:val="004C19AE"/>
    <w:rsid w:val="004D4EBA"/>
    <w:rsid w:val="004F659C"/>
    <w:rsid w:val="00505540"/>
    <w:rsid w:val="0052340D"/>
    <w:rsid w:val="00523518"/>
    <w:rsid w:val="005323D8"/>
    <w:rsid w:val="0053473C"/>
    <w:rsid w:val="0053604B"/>
    <w:rsid w:val="00540C83"/>
    <w:rsid w:val="00546104"/>
    <w:rsid w:val="005509FE"/>
    <w:rsid w:val="005562A9"/>
    <w:rsid w:val="00564FAB"/>
    <w:rsid w:val="00565035"/>
    <w:rsid w:val="0056563A"/>
    <w:rsid w:val="0056595F"/>
    <w:rsid w:val="005805DA"/>
    <w:rsid w:val="005948CD"/>
    <w:rsid w:val="005B0E40"/>
    <w:rsid w:val="005B7273"/>
    <w:rsid w:val="005C70C6"/>
    <w:rsid w:val="005E006F"/>
    <w:rsid w:val="005E0986"/>
    <w:rsid w:val="005E6035"/>
    <w:rsid w:val="005F756E"/>
    <w:rsid w:val="00605DFE"/>
    <w:rsid w:val="00613385"/>
    <w:rsid w:val="0061681D"/>
    <w:rsid w:val="006369E8"/>
    <w:rsid w:val="00636A9F"/>
    <w:rsid w:val="00640CD4"/>
    <w:rsid w:val="00647F85"/>
    <w:rsid w:val="00672B80"/>
    <w:rsid w:val="0068135E"/>
    <w:rsid w:val="006954F0"/>
    <w:rsid w:val="00695838"/>
    <w:rsid w:val="006A24B5"/>
    <w:rsid w:val="006A40AC"/>
    <w:rsid w:val="006A7F48"/>
    <w:rsid w:val="006B126A"/>
    <w:rsid w:val="006B5AC8"/>
    <w:rsid w:val="006C22F3"/>
    <w:rsid w:val="006C252F"/>
    <w:rsid w:val="006C2C61"/>
    <w:rsid w:val="006C6D4A"/>
    <w:rsid w:val="006E3397"/>
    <w:rsid w:val="006E5440"/>
    <w:rsid w:val="006E6596"/>
    <w:rsid w:val="006F3A66"/>
    <w:rsid w:val="00700B33"/>
    <w:rsid w:val="00711030"/>
    <w:rsid w:val="007117FD"/>
    <w:rsid w:val="00742D08"/>
    <w:rsid w:val="00752401"/>
    <w:rsid w:val="0075327E"/>
    <w:rsid w:val="007539FE"/>
    <w:rsid w:val="00774501"/>
    <w:rsid w:val="007748B2"/>
    <w:rsid w:val="0079770B"/>
    <w:rsid w:val="007B1F4A"/>
    <w:rsid w:val="007B2B64"/>
    <w:rsid w:val="007B3D44"/>
    <w:rsid w:val="007B4056"/>
    <w:rsid w:val="007C2F28"/>
    <w:rsid w:val="007C427D"/>
    <w:rsid w:val="007C73D4"/>
    <w:rsid w:val="007D5B07"/>
    <w:rsid w:val="007F3E15"/>
    <w:rsid w:val="0081375E"/>
    <w:rsid w:val="0082017A"/>
    <w:rsid w:val="008305D2"/>
    <w:rsid w:val="00830D91"/>
    <w:rsid w:val="00834449"/>
    <w:rsid w:val="00837DCA"/>
    <w:rsid w:val="008636D2"/>
    <w:rsid w:val="00865D5D"/>
    <w:rsid w:val="008718E4"/>
    <w:rsid w:val="00874FE7"/>
    <w:rsid w:val="00882F5A"/>
    <w:rsid w:val="00884A05"/>
    <w:rsid w:val="00885C4D"/>
    <w:rsid w:val="008B31E1"/>
    <w:rsid w:val="008D62C6"/>
    <w:rsid w:val="008E680A"/>
    <w:rsid w:val="008F1140"/>
    <w:rsid w:val="008F2AB9"/>
    <w:rsid w:val="00905F81"/>
    <w:rsid w:val="00915E8F"/>
    <w:rsid w:val="0092419A"/>
    <w:rsid w:val="00924B2E"/>
    <w:rsid w:val="00925771"/>
    <w:rsid w:val="0093524D"/>
    <w:rsid w:val="00935601"/>
    <w:rsid w:val="00936002"/>
    <w:rsid w:val="00937626"/>
    <w:rsid w:val="009422DB"/>
    <w:rsid w:val="00951677"/>
    <w:rsid w:val="0095492F"/>
    <w:rsid w:val="00961B28"/>
    <w:rsid w:val="00972CC6"/>
    <w:rsid w:val="0097630F"/>
    <w:rsid w:val="00976843"/>
    <w:rsid w:val="00976F05"/>
    <w:rsid w:val="009916EC"/>
    <w:rsid w:val="009924BD"/>
    <w:rsid w:val="009A753A"/>
    <w:rsid w:val="009B08CF"/>
    <w:rsid w:val="009B1D5E"/>
    <w:rsid w:val="009B606D"/>
    <w:rsid w:val="009B6B4B"/>
    <w:rsid w:val="009C1FAB"/>
    <w:rsid w:val="009D405E"/>
    <w:rsid w:val="009D487A"/>
    <w:rsid w:val="009D5E11"/>
    <w:rsid w:val="009E6116"/>
    <w:rsid w:val="009F090B"/>
    <w:rsid w:val="00A00401"/>
    <w:rsid w:val="00A0559D"/>
    <w:rsid w:val="00A27561"/>
    <w:rsid w:val="00A32696"/>
    <w:rsid w:val="00A33211"/>
    <w:rsid w:val="00A34C72"/>
    <w:rsid w:val="00A571C1"/>
    <w:rsid w:val="00A601BC"/>
    <w:rsid w:val="00A61033"/>
    <w:rsid w:val="00A673AB"/>
    <w:rsid w:val="00A73909"/>
    <w:rsid w:val="00A8422A"/>
    <w:rsid w:val="00A90229"/>
    <w:rsid w:val="00A91933"/>
    <w:rsid w:val="00A94333"/>
    <w:rsid w:val="00AA0C62"/>
    <w:rsid w:val="00AB350C"/>
    <w:rsid w:val="00AB366B"/>
    <w:rsid w:val="00AB5BDB"/>
    <w:rsid w:val="00AB689C"/>
    <w:rsid w:val="00AB79E3"/>
    <w:rsid w:val="00AB7DF2"/>
    <w:rsid w:val="00AC230C"/>
    <w:rsid w:val="00AE6219"/>
    <w:rsid w:val="00B149A5"/>
    <w:rsid w:val="00B174D9"/>
    <w:rsid w:val="00B24A4E"/>
    <w:rsid w:val="00B252B4"/>
    <w:rsid w:val="00B25DDB"/>
    <w:rsid w:val="00B47952"/>
    <w:rsid w:val="00B50812"/>
    <w:rsid w:val="00B56521"/>
    <w:rsid w:val="00B6552C"/>
    <w:rsid w:val="00B66620"/>
    <w:rsid w:val="00B76CBD"/>
    <w:rsid w:val="00B81A55"/>
    <w:rsid w:val="00B8261B"/>
    <w:rsid w:val="00B86C53"/>
    <w:rsid w:val="00B9008F"/>
    <w:rsid w:val="00BA0EEE"/>
    <w:rsid w:val="00BA2BE3"/>
    <w:rsid w:val="00BA3A2A"/>
    <w:rsid w:val="00BB2791"/>
    <w:rsid w:val="00BB53B0"/>
    <w:rsid w:val="00BE3532"/>
    <w:rsid w:val="00BE70B8"/>
    <w:rsid w:val="00BF2E00"/>
    <w:rsid w:val="00BF3DEA"/>
    <w:rsid w:val="00C0196E"/>
    <w:rsid w:val="00C01F5B"/>
    <w:rsid w:val="00C06AA2"/>
    <w:rsid w:val="00C1195B"/>
    <w:rsid w:val="00C214CB"/>
    <w:rsid w:val="00C26443"/>
    <w:rsid w:val="00C32D68"/>
    <w:rsid w:val="00C369F6"/>
    <w:rsid w:val="00C43712"/>
    <w:rsid w:val="00C45831"/>
    <w:rsid w:val="00C45DD2"/>
    <w:rsid w:val="00C526D6"/>
    <w:rsid w:val="00C560E5"/>
    <w:rsid w:val="00C66A1A"/>
    <w:rsid w:val="00C807A9"/>
    <w:rsid w:val="00C90E6D"/>
    <w:rsid w:val="00C93E3C"/>
    <w:rsid w:val="00CA0C96"/>
    <w:rsid w:val="00CA1D0E"/>
    <w:rsid w:val="00CA3718"/>
    <w:rsid w:val="00CD41AC"/>
    <w:rsid w:val="00CD641E"/>
    <w:rsid w:val="00CE006C"/>
    <w:rsid w:val="00CE2B2D"/>
    <w:rsid w:val="00CE3773"/>
    <w:rsid w:val="00CE4827"/>
    <w:rsid w:val="00CE7BCF"/>
    <w:rsid w:val="00CF3901"/>
    <w:rsid w:val="00D164E6"/>
    <w:rsid w:val="00D1798E"/>
    <w:rsid w:val="00D232E6"/>
    <w:rsid w:val="00D313C7"/>
    <w:rsid w:val="00D46C42"/>
    <w:rsid w:val="00D475CE"/>
    <w:rsid w:val="00D724F5"/>
    <w:rsid w:val="00D72DE8"/>
    <w:rsid w:val="00D82C5F"/>
    <w:rsid w:val="00D82E6A"/>
    <w:rsid w:val="00D93DE1"/>
    <w:rsid w:val="00DA21FA"/>
    <w:rsid w:val="00DC0C76"/>
    <w:rsid w:val="00DF3957"/>
    <w:rsid w:val="00E16469"/>
    <w:rsid w:val="00E27F3C"/>
    <w:rsid w:val="00E457D7"/>
    <w:rsid w:val="00E50A64"/>
    <w:rsid w:val="00E5159E"/>
    <w:rsid w:val="00E53F96"/>
    <w:rsid w:val="00E65605"/>
    <w:rsid w:val="00E70B11"/>
    <w:rsid w:val="00E80E2F"/>
    <w:rsid w:val="00EB0521"/>
    <w:rsid w:val="00EB117F"/>
    <w:rsid w:val="00EB4D06"/>
    <w:rsid w:val="00EB7F67"/>
    <w:rsid w:val="00EC0B3B"/>
    <w:rsid w:val="00ED1A7E"/>
    <w:rsid w:val="00EE0335"/>
    <w:rsid w:val="00EE426E"/>
    <w:rsid w:val="00EE502C"/>
    <w:rsid w:val="00EE588D"/>
    <w:rsid w:val="00EF2BD5"/>
    <w:rsid w:val="00EF5F83"/>
    <w:rsid w:val="00F22A45"/>
    <w:rsid w:val="00F304BA"/>
    <w:rsid w:val="00F30920"/>
    <w:rsid w:val="00F3433F"/>
    <w:rsid w:val="00F414D7"/>
    <w:rsid w:val="00F50FD9"/>
    <w:rsid w:val="00F518F7"/>
    <w:rsid w:val="00F548A3"/>
    <w:rsid w:val="00F65777"/>
    <w:rsid w:val="00F66B07"/>
    <w:rsid w:val="00F77208"/>
    <w:rsid w:val="00F849AF"/>
    <w:rsid w:val="00F92C04"/>
    <w:rsid w:val="00F92E1B"/>
    <w:rsid w:val="00FA5737"/>
    <w:rsid w:val="00FA6F5A"/>
    <w:rsid w:val="00FB47E5"/>
    <w:rsid w:val="00FC06C9"/>
    <w:rsid w:val="00FC1047"/>
    <w:rsid w:val="00FD546C"/>
    <w:rsid w:val="00FE2B61"/>
    <w:rsid w:val="00FE3D02"/>
    <w:rsid w:val="00FF0F25"/>
    <w:rsid w:val="00FF32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97505"/>
  <w15:docId w15:val="{C60B3361-B6AC-46FC-A06C-64D893826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paragraph" w:styleId="berschrift2">
    <w:name w:val="heading 2"/>
    <w:basedOn w:val="Standard"/>
    <w:next w:val="Standard"/>
    <w:link w:val="berschrift2Zchn"/>
    <w:uiPriority w:val="9"/>
    <w:unhideWhenUsed/>
    <w:qFormat/>
    <w:rsid w:val="008636D2"/>
    <w:pPr>
      <w:keepNext/>
      <w:keepLines/>
      <w:spacing w:before="200" w:after="0"/>
      <w:outlineLvl w:val="1"/>
    </w:pPr>
    <w:rPr>
      <w:rFonts w:eastAsia="Times New Roman"/>
      <w:b/>
      <w:bCs/>
      <w:color w:val="006AB3"/>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ntertitel">
    <w:name w:val="Subtitle"/>
    <w:basedOn w:val="Standard"/>
    <w:next w:val="Standard"/>
    <w:link w:val="UntertitelZchn"/>
    <w:uiPriority w:val="11"/>
    <w:qFormat/>
    <w:rsid w:val="002573C9"/>
    <w:pPr>
      <w:numPr>
        <w:ilvl w:val="1"/>
      </w:numPr>
    </w:pPr>
    <w:rPr>
      <w:rFonts w:eastAsia="Times New Roman"/>
      <w:i/>
      <w:iCs/>
      <w:color w:val="006AB3"/>
      <w:spacing w:val="15"/>
      <w:sz w:val="24"/>
      <w:szCs w:val="24"/>
    </w:rPr>
  </w:style>
  <w:style w:type="character" w:customStyle="1" w:styleId="UntertitelZchn">
    <w:name w:val="Untertitel Zchn"/>
    <w:link w:val="Untertitel"/>
    <w:uiPriority w:val="11"/>
    <w:rsid w:val="002573C9"/>
    <w:rPr>
      <w:rFonts w:ascii="Arial" w:eastAsia="Times New Roman" w:hAnsi="Arial" w:cs="Times New Roman"/>
      <w:i/>
      <w:iCs/>
      <w:color w:val="006AB3"/>
      <w:spacing w:val="15"/>
      <w:sz w:val="24"/>
      <w:szCs w:val="24"/>
    </w:rPr>
  </w:style>
  <w:style w:type="paragraph" w:styleId="Sprechblasentext">
    <w:name w:val="Balloon Text"/>
    <w:basedOn w:val="Standard"/>
    <w:link w:val="SprechblasentextZchn"/>
    <w:uiPriority w:val="99"/>
    <w:semiHidden/>
    <w:unhideWhenUsed/>
    <w:rsid w:val="00B50812"/>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B50812"/>
    <w:rPr>
      <w:rFonts w:ascii="Tahoma" w:hAnsi="Tahoma" w:cs="Tahoma"/>
      <w:sz w:val="16"/>
      <w:szCs w:val="16"/>
    </w:rPr>
  </w:style>
  <w:style w:type="character" w:customStyle="1" w:styleId="berschrift2Zchn">
    <w:name w:val="Überschrift 2 Zchn"/>
    <w:link w:val="berschrift2"/>
    <w:uiPriority w:val="9"/>
    <w:rsid w:val="008636D2"/>
    <w:rPr>
      <w:rFonts w:ascii="Arial" w:eastAsia="Times New Roman" w:hAnsi="Arial" w:cs="Times New Roman"/>
      <w:b/>
      <w:bCs/>
      <w:color w:val="006AB3"/>
      <w:sz w:val="26"/>
      <w:szCs w:val="26"/>
    </w:rPr>
  </w:style>
  <w:style w:type="character" w:styleId="Hyperlink">
    <w:name w:val="Hyperlink"/>
    <w:uiPriority w:val="99"/>
    <w:unhideWhenUsed/>
    <w:rsid w:val="00695838"/>
    <w:rPr>
      <w:color w:val="002060"/>
      <w:u w:val="single"/>
    </w:rPr>
  </w:style>
  <w:style w:type="table" w:styleId="Tabellenraster">
    <w:name w:val="Table Grid"/>
    <w:basedOn w:val="NormaleTabelle"/>
    <w:uiPriority w:val="59"/>
    <w:rsid w:val="00D72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Raster-Akzent1">
    <w:name w:val="Light Grid Accent 1"/>
    <w:basedOn w:val="NormaleTabelle"/>
    <w:uiPriority w:val="62"/>
    <w:rsid w:val="00C06AA2"/>
    <w:tblPr>
      <w:tblStyleRowBandSize w:val="1"/>
      <w:tblStyleColBandSize w:val="1"/>
      <w:tblBorders>
        <w:top w:val="single" w:sz="8" w:space="0" w:color="006AB3"/>
        <w:left w:val="single" w:sz="8" w:space="0" w:color="006AB3"/>
        <w:bottom w:val="single" w:sz="8" w:space="0" w:color="006AB3"/>
        <w:right w:val="single" w:sz="8" w:space="0" w:color="006AB3"/>
        <w:insideH w:val="single" w:sz="8" w:space="0" w:color="006AB3"/>
        <w:insideV w:val="single" w:sz="8" w:space="0" w:color="006AB3"/>
      </w:tblBorders>
    </w:tblPr>
    <w:tblStylePr w:type="firstRow">
      <w:pPr>
        <w:spacing w:before="0" w:after="0" w:line="240" w:lineRule="auto"/>
      </w:pPr>
      <w:rPr>
        <w:rFonts w:ascii="Arial" w:eastAsia="Times New Roman" w:hAnsi="Arial" w:cs="Times New Roman"/>
        <w:b/>
        <w:bCs/>
      </w:rPr>
      <w:tblPr/>
      <w:tcPr>
        <w:tcBorders>
          <w:top w:val="single" w:sz="8" w:space="0" w:color="006AB3"/>
          <w:left w:val="single" w:sz="8" w:space="0" w:color="006AB3"/>
          <w:bottom w:val="single" w:sz="18" w:space="0" w:color="006AB3"/>
          <w:right w:val="single" w:sz="8" w:space="0" w:color="006AB3"/>
          <w:insideH w:val="nil"/>
          <w:insideV w:val="single" w:sz="8" w:space="0" w:color="006AB3"/>
        </w:tcBorders>
      </w:tcPr>
    </w:tblStylePr>
    <w:tblStylePr w:type="lastRow">
      <w:pPr>
        <w:spacing w:before="0" w:after="0" w:line="240" w:lineRule="auto"/>
      </w:pPr>
      <w:rPr>
        <w:rFonts w:ascii="Arial" w:eastAsia="Times New Roman" w:hAnsi="Arial" w:cs="Times New Roman"/>
        <w:b/>
        <w:bCs/>
      </w:rPr>
      <w:tblPr/>
      <w:tcPr>
        <w:tcBorders>
          <w:top w:val="double" w:sz="6" w:space="0" w:color="006AB3"/>
          <w:left w:val="single" w:sz="8" w:space="0" w:color="006AB3"/>
          <w:bottom w:val="single" w:sz="8" w:space="0" w:color="006AB3"/>
          <w:right w:val="single" w:sz="8" w:space="0" w:color="006AB3"/>
          <w:insideH w:val="nil"/>
          <w:insideV w:val="single" w:sz="8" w:space="0" w:color="006AB3"/>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6AB3"/>
          <w:left w:val="single" w:sz="8" w:space="0" w:color="006AB3"/>
          <w:bottom w:val="single" w:sz="8" w:space="0" w:color="006AB3"/>
          <w:right w:val="single" w:sz="8" w:space="0" w:color="006AB3"/>
        </w:tcBorders>
      </w:tcPr>
    </w:tblStylePr>
    <w:tblStylePr w:type="band1Vert">
      <w:tblPr/>
      <w:tcPr>
        <w:tcBorders>
          <w:top w:val="single" w:sz="8" w:space="0" w:color="006AB3"/>
          <w:left w:val="single" w:sz="8" w:space="0" w:color="006AB3"/>
          <w:bottom w:val="single" w:sz="8" w:space="0" w:color="006AB3"/>
          <w:right w:val="single" w:sz="8" w:space="0" w:color="006AB3"/>
        </w:tcBorders>
        <w:shd w:val="clear" w:color="auto" w:fill="ADDDFF"/>
      </w:tcPr>
    </w:tblStylePr>
    <w:tblStylePr w:type="band1Horz">
      <w:tblPr/>
      <w:tcPr>
        <w:tcBorders>
          <w:top w:val="single" w:sz="8" w:space="0" w:color="006AB3"/>
          <w:left w:val="single" w:sz="8" w:space="0" w:color="006AB3"/>
          <w:bottom w:val="single" w:sz="8" w:space="0" w:color="006AB3"/>
          <w:right w:val="single" w:sz="8" w:space="0" w:color="006AB3"/>
          <w:insideV w:val="single" w:sz="8" w:space="0" w:color="006AB3"/>
        </w:tcBorders>
        <w:shd w:val="clear" w:color="auto" w:fill="ADDDFF"/>
      </w:tcPr>
    </w:tblStylePr>
    <w:tblStylePr w:type="band2Horz">
      <w:tblPr/>
      <w:tcPr>
        <w:tcBorders>
          <w:top w:val="single" w:sz="8" w:space="0" w:color="006AB3"/>
          <w:left w:val="single" w:sz="8" w:space="0" w:color="006AB3"/>
          <w:bottom w:val="single" w:sz="8" w:space="0" w:color="006AB3"/>
          <w:right w:val="single" w:sz="8" w:space="0" w:color="006AB3"/>
          <w:insideV w:val="single" w:sz="8" w:space="0" w:color="006AB3"/>
        </w:tcBorders>
      </w:tcPr>
    </w:tblStylePr>
  </w:style>
  <w:style w:type="paragraph" w:styleId="Kopfzeile">
    <w:name w:val="header"/>
    <w:basedOn w:val="Standard"/>
    <w:link w:val="KopfzeileZchn"/>
    <w:unhideWhenUsed/>
    <w:rsid w:val="006E3397"/>
    <w:pPr>
      <w:tabs>
        <w:tab w:val="center" w:pos="4536"/>
        <w:tab w:val="right" w:pos="9072"/>
      </w:tabs>
      <w:spacing w:after="0" w:line="240" w:lineRule="auto"/>
    </w:pPr>
  </w:style>
  <w:style w:type="character" w:customStyle="1" w:styleId="KopfzeileZchn">
    <w:name w:val="Kopfzeile Zchn"/>
    <w:basedOn w:val="Absatz-Standardschriftart"/>
    <w:link w:val="Kopfzeile"/>
    <w:rsid w:val="006E3397"/>
  </w:style>
  <w:style w:type="paragraph" w:styleId="Fuzeile">
    <w:name w:val="footer"/>
    <w:basedOn w:val="Standard"/>
    <w:link w:val="FuzeileZchn"/>
    <w:uiPriority w:val="99"/>
    <w:unhideWhenUsed/>
    <w:rsid w:val="006E339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3397"/>
  </w:style>
  <w:style w:type="paragraph" w:styleId="Listenabsatz">
    <w:name w:val="List Paragraph"/>
    <w:basedOn w:val="Standard"/>
    <w:uiPriority w:val="34"/>
    <w:qFormat/>
    <w:rsid w:val="003337FD"/>
    <w:pPr>
      <w:ind w:left="720"/>
      <w:contextualSpacing/>
    </w:pPr>
  </w:style>
  <w:style w:type="character" w:styleId="Zeilennummer">
    <w:name w:val="line number"/>
    <w:basedOn w:val="Absatz-Standardschriftart"/>
    <w:uiPriority w:val="99"/>
    <w:semiHidden/>
    <w:unhideWhenUsed/>
    <w:rsid w:val="007B2B64"/>
  </w:style>
  <w:style w:type="character" w:styleId="BesuchterLink">
    <w:name w:val="FollowedHyperlink"/>
    <w:uiPriority w:val="99"/>
    <w:semiHidden/>
    <w:unhideWhenUsed/>
    <w:rsid w:val="00041F70"/>
    <w:rPr>
      <w:color w:val="CC0066"/>
      <w:u w:val="single"/>
    </w:rPr>
  </w:style>
  <w:style w:type="paragraph" w:styleId="StandardWeb">
    <w:name w:val="Normal (Web)"/>
    <w:basedOn w:val="Standard"/>
    <w:uiPriority w:val="99"/>
    <w:semiHidden/>
    <w:unhideWhenUsed/>
    <w:rsid w:val="00AB689C"/>
    <w:pPr>
      <w:spacing w:before="100" w:beforeAutospacing="1" w:after="100" w:afterAutospacing="1" w:line="240" w:lineRule="auto"/>
    </w:pPr>
    <w:rPr>
      <w:rFonts w:ascii="Times New Roman" w:eastAsiaTheme="minorEastAsia" w:hAnsi="Times New Roman"/>
      <w:sz w:val="24"/>
      <w:szCs w:val="24"/>
      <w:lang w:eastAsia="de-DE"/>
    </w:rPr>
  </w:style>
  <w:style w:type="character" w:styleId="Kommentarzeichen">
    <w:name w:val="annotation reference"/>
    <w:basedOn w:val="Absatz-Standardschriftart"/>
    <w:uiPriority w:val="99"/>
    <w:semiHidden/>
    <w:unhideWhenUsed/>
    <w:rsid w:val="00640CD4"/>
    <w:rPr>
      <w:sz w:val="16"/>
      <w:szCs w:val="16"/>
    </w:rPr>
  </w:style>
  <w:style w:type="paragraph" w:styleId="Kommentartext">
    <w:name w:val="annotation text"/>
    <w:basedOn w:val="Standard"/>
    <w:link w:val="KommentartextZchn"/>
    <w:uiPriority w:val="99"/>
    <w:semiHidden/>
    <w:unhideWhenUsed/>
    <w:rsid w:val="00640CD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40CD4"/>
    <w:rPr>
      <w:lang w:eastAsia="en-US"/>
    </w:rPr>
  </w:style>
  <w:style w:type="paragraph" w:styleId="Kommentarthema">
    <w:name w:val="annotation subject"/>
    <w:basedOn w:val="Kommentartext"/>
    <w:next w:val="Kommentartext"/>
    <w:link w:val="KommentarthemaZchn"/>
    <w:uiPriority w:val="99"/>
    <w:semiHidden/>
    <w:unhideWhenUsed/>
    <w:rsid w:val="00640CD4"/>
    <w:rPr>
      <w:b/>
      <w:bCs/>
    </w:rPr>
  </w:style>
  <w:style w:type="character" w:customStyle="1" w:styleId="KommentarthemaZchn">
    <w:name w:val="Kommentarthema Zchn"/>
    <w:basedOn w:val="KommentartextZchn"/>
    <w:link w:val="Kommentarthema"/>
    <w:uiPriority w:val="99"/>
    <w:semiHidden/>
    <w:rsid w:val="00640CD4"/>
    <w:rPr>
      <w:b/>
      <w:bCs/>
      <w:lang w:eastAsia="en-US"/>
    </w:rPr>
  </w:style>
  <w:style w:type="paragraph" w:styleId="Funotentext">
    <w:name w:val="footnote text"/>
    <w:basedOn w:val="Standard"/>
    <w:link w:val="FunotentextZchn"/>
    <w:uiPriority w:val="99"/>
    <w:semiHidden/>
    <w:unhideWhenUsed/>
    <w:rsid w:val="00D164E6"/>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164E6"/>
    <w:rPr>
      <w:lang w:eastAsia="en-US"/>
    </w:rPr>
  </w:style>
  <w:style w:type="character" w:styleId="Funotenzeichen">
    <w:name w:val="footnote reference"/>
    <w:basedOn w:val="Absatz-Standardschriftart"/>
    <w:uiPriority w:val="99"/>
    <w:semiHidden/>
    <w:unhideWhenUsed/>
    <w:rsid w:val="00D164E6"/>
    <w:rPr>
      <w:vertAlign w:val="superscript"/>
    </w:rPr>
  </w:style>
  <w:style w:type="character" w:styleId="NichtaufgelsteErwhnung">
    <w:name w:val="Unresolved Mention"/>
    <w:basedOn w:val="Absatz-Standardschriftart"/>
    <w:uiPriority w:val="99"/>
    <w:semiHidden/>
    <w:unhideWhenUsed/>
    <w:rsid w:val="006A7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26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B7494-3FC1-4D99-BDBE-00B8255E2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863</Words>
  <Characters>5439</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IW Verbund</Company>
  <LinksUpToDate>false</LinksUpToDate>
  <CharactersWithSpaces>6290</CharactersWithSpaces>
  <SharedDoc>false</SharedDoc>
  <HLinks>
    <vt:vector size="18" baseType="variant">
      <vt:variant>
        <vt:i4>2424912</vt:i4>
      </vt:variant>
      <vt:variant>
        <vt:i4>3</vt:i4>
      </vt:variant>
      <vt:variant>
        <vt:i4>0</vt:i4>
      </vt:variant>
      <vt:variant>
        <vt:i4>5</vt:i4>
      </vt:variant>
      <vt:variant>
        <vt:lpwstr>http://www.ag-wiso.de/help/src/geld2_gesamt.pdf</vt:lpwstr>
      </vt:variant>
      <vt:variant>
        <vt:lpwstr/>
      </vt:variant>
      <vt:variant>
        <vt:i4>2424912</vt:i4>
      </vt:variant>
      <vt:variant>
        <vt:i4>0</vt:i4>
      </vt:variant>
      <vt:variant>
        <vt:i4>0</vt:i4>
      </vt:variant>
      <vt:variant>
        <vt:i4>5</vt:i4>
      </vt:variant>
      <vt:variant>
        <vt:lpwstr>http://www.ag-wiso.de/help/src/geld2_gesamt.pdf</vt:lpwstr>
      </vt:variant>
      <vt:variant>
        <vt:lpwstr/>
      </vt:variant>
      <vt:variant>
        <vt:i4>3604593</vt:i4>
      </vt:variant>
      <vt:variant>
        <vt:i4>0</vt:i4>
      </vt:variant>
      <vt:variant>
        <vt:i4>0</vt:i4>
      </vt:variant>
      <vt:variant>
        <vt:i4>5</vt:i4>
      </vt:variant>
      <vt:variant>
        <vt:lpwstr>http://www.insm.de/insm/ueber-die-insm/FAQ.html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Bartz, Christina</dc:creator>
  <cp:lastModifiedBy>Makarenko, Vera</cp:lastModifiedBy>
  <cp:revision>4</cp:revision>
  <cp:lastPrinted>2019-12-12T15:37:00Z</cp:lastPrinted>
  <dcterms:created xsi:type="dcterms:W3CDTF">2019-12-12T15:37:00Z</dcterms:created>
  <dcterms:modified xsi:type="dcterms:W3CDTF">2019-12-12T15:38:00Z</dcterms:modified>
</cp:coreProperties>
</file>